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D4A33" w14:textId="77777777" w:rsidR="004257BD" w:rsidRPr="00AF0566" w:rsidRDefault="004257BD" w:rsidP="004257BD">
      <w:pPr>
        <w:widowControl/>
        <w:shd w:val="clear" w:color="auto" w:fill="FFFFFF"/>
        <w:spacing w:line="360" w:lineRule="auto"/>
        <w:jc w:val="center"/>
        <w:rPr>
          <w:rFonts w:ascii="微软雅黑" w:eastAsia="宋体" w:hAnsi="微软雅黑" w:cs="宋体"/>
          <w:b/>
          <w:bCs/>
          <w:color w:val="333333"/>
          <w:kern w:val="0"/>
          <w:sz w:val="32"/>
          <w:szCs w:val="24"/>
        </w:rPr>
      </w:pPr>
    </w:p>
    <w:p w14:paraId="14545AD3" w14:textId="77777777" w:rsidR="00500905" w:rsidRDefault="00472A05" w:rsidP="004257BD">
      <w:pPr>
        <w:widowControl/>
        <w:shd w:val="clear" w:color="auto" w:fill="FFFFFF"/>
        <w:spacing w:line="360" w:lineRule="auto"/>
        <w:jc w:val="center"/>
        <w:rPr>
          <w:rFonts w:ascii="微软雅黑" w:eastAsia="宋体" w:hAnsi="微软雅黑" w:cs="宋体"/>
          <w:b/>
          <w:bCs/>
          <w:color w:val="333333"/>
          <w:kern w:val="0"/>
          <w:sz w:val="32"/>
          <w:szCs w:val="24"/>
        </w:rPr>
      </w:pPr>
      <w:r>
        <w:rPr>
          <w:rFonts w:ascii="微软雅黑" w:eastAsia="宋体" w:hAnsi="微软雅黑" w:cs="宋体" w:hint="eastAsia"/>
          <w:b/>
          <w:bCs/>
          <w:color w:val="333333"/>
          <w:kern w:val="0"/>
          <w:sz w:val="32"/>
          <w:szCs w:val="24"/>
        </w:rPr>
        <w:t>华安</w:t>
      </w:r>
      <w:r w:rsidR="004257BD" w:rsidRPr="00995ECC">
        <w:rPr>
          <w:rFonts w:ascii="微软雅黑" w:eastAsia="宋体" w:hAnsi="微软雅黑" w:cs="宋体"/>
          <w:b/>
          <w:bCs/>
          <w:color w:val="333333"/>
          <w:kern w:val="0"/>
          <w:sz w:val="32"/>
          <w:szCs w:val="24"/>
        </w:rPr>
        <w:t>基金管理有限公司</w:t>
      </w:r>
    </w:p>
    <w:p w14:paraId="032D1165" w14:textId="77777777" w:rsidR="004257BD" w:rsidRPr="00995ECC" w:rsidRDefault="004257BD" w:rsidP="004257BD">
      <w:pPr>
        <w:widowControl/>
        <w:shd w:val="clear" w:color="auto" w:fill="FFFFFF"/>
        <w:spacing w:line="360" w:lineRule="auto"/>
        <w:jc w:val="center"/>
        <w:rPr>
          <w:rFonts w:ascii="Arial" w:eastAsia="宋体" w:hAnsi="Arial" w:cs="Arial"/>
          <w:color w:val="333333"/>
          <w:kern w:val="0"/>
          <w:sz w:val="32"/>
          <w:szCs w:val="24"/>
        </w:rPr>
      </w:pPr>
      <w:r w:rsidRPr="00995ECC">
        <w:rPr>
          <w:rFonts w:ascii="微软雅黑" w:eastAsia="宋体" w:hAnsi="微软雅黑" w:cs="宋体"/>
          <w:b/>
          <w:bCs/>
          <w:color w:val="333333"/>
          <w:kern w:val="0"/>
          <w:sz w:val="32"/>
          <w:szCs w:val="24"/>
        </w:rPr>
        <w:t>网上交易定期定额申购业务协议</w:t>
      </w:r>
    </w:p>
    <w:p w14:paraId="730100C4" w14:textId="77777777" w:rsidR="00995ECC" w:rsidRPr="00500905" w:rsidRDefault="00995ECC" w:rsidP="00995ECC">
      <w:pPr>
        <w:widowControl/>
        <w:shd w:val="clear" w:color="auto" w:fill="FFFFFF"/>
        <w:spacing w:line="360" w:lineRule="auto"/>
        <w:jc w:val="left"/>
        <w:rPr>
          <w:rFonts w:ascii="微软雅黑" w:eastAsia="宋体" w:hAnsi="微软雅黑" w:cs="宋体"/>
          <w:color w:val="333333"/>
          <w:kern w:val="0"/>
          <w:sz w:val="24"/>
          <w:szCs w:val="24"/>
        </w:rPr>
      </w:pPr>
    </w:p>
    <w:p w14:paraId="08875E70" w14:textId="77777777" w:rsidR="00995ECC" w:rsidRPr="00AF0566" w:rsidRDefault="00995ECC" w:rsidP="00995ECC">
      <w:pPr>
        <w:widowControl/>
        <w:shd w:val="clear" w:color="auto" w:fill="FFFFFF"/>
        <w:spacing w:line="360" w:lineRule="auto"/>
        <w:jc w:val="left"/>
        <w:rPr>
          <w:rFonts w:ascii="微软雅黑" w:eastAsia="宋体" w:hAnsi="微软雅黑" w:cs="宋体"/>
          <w:color w:val="333333"/>
          <w:kern w:val="0"/>
          <w:sz w:val="24"/>
          <w:szCs w:val="24"/>
        </w:rPr>
      </w:pPr>
    </w:p>
    <w:p w14:paraId="4C3EA336" w14:textId="77777777" w:rsidR="00995ECC" w:rsidRPr="00AF0566" w:rsidRDefault="00995ECC" w:rsidP="00F53BFE">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95ECC">
        <w:rPr>
          <w:rFonts w:ascii="微软雅黑" w:eastAsia="宋体" w:hAnsi="微软雅黑" w:cs="宋体"/>
          <w:color w:val="333333"/>
          <w:kern w:val="0"/>
          <w:sz w:val="24"/>
          <w:szCs w:val="24"/>
        </w:rPr>
        <w:t>甲方：投资者</w:t>
      </w:r>
    </w:p>
    <w:p w14:paraId="1A08351F" w14:textId="77777777" w:rsidR="00995ECC" w:rsidRPr="00AF0566" w:rsidRDefault="00995ECC" w:rsidP="00F53BFE">
      <w:pPr>
        <w:widowControl/>
        <w:shd w:val="clear" w:color="auto" w:fill="FFFFFF"/>
        <w:spacing w:line="360" w:lineRule="auto"/>
        <w:ind w:firstLineChars="200" w:firstLine="480"/>
        <w:jc w:val="left"/>
        <w:rPr>
          <w:rFonts w:ascii="Arial" w:eastAsia="宋体" w:hAnsi="Arial" w:cs="Arial"/>
          <w:color w:val="333333"/>
          <w:kern w:val="0"/>
          <w:sz w:val="24"/>
          <w:szCs w:val="24"/>
        </w:rPr>
      </w:pPr>
      <w:r w:rsidRPr="00995ECC">
        <w:rPr>
          <w:rFonts w:ascii="微软雅黑" w:eastAsia="宋体" w:hAnsi="微软雅黑" w:cs="宋体"/>
          <w:color w:val="333333"/>
          <w:kern w:val="0"/>
          <w:sz w:val="24"/>
          <w:szCs w:val="24"/>
        </w:rPr>
        <w:t>乙方：</w:t>
      </w:r>
      <w:r w:rsidR="00472A05">
        <w:rPr>
          <w:rFonts w:ascii="微软雅黑" w:eastAsia="宋体" w:hAnsi="微软雅黑" w:cs="宋体"/>
          <w:color w:val="333333"/>
          <w:kern w:val="0"/>
          <w:sz w:val="24"/>
          <w:szCs w:val="24"/>
        </w:rPr>
        <w:t>华安</w:t>
      </w:r>
      <w:r w:rsidRPr="00995ECC">
        <w:rPr>
          <w:rFonts w:ascii="微软雅黑" w:eastAsia="宋体" w:hAnsi="微软雅黑" w:cs="宋体"/>
          <w:color w:val="333333"/>
          <w:kern w:val="0"/>
          <w:sz w:val="24"/>
          <w:szCs w:val="24"/>
        </w:rPr>
        <w:t>基金管理有限公司（以下简称</w:t>
      </w:r>
      <w:bookmarkStart w:id="0" w:name="_GoBack"/>
      <w:bookmarkEnd w:id="0"/>
      <w:r w:rsidRPr="00995ECC">
        <w:rPr>
          <w:rFonts w:ascii="Arial" w:eastAsia="宋体" w:hAnsi="Arial" w:cs="Arial"/>
          <w:color w:val="333333"/>
          <w:kern w:val="0"/>
          <w:sz w:val="24"/>
          <w:szCs w:val="24"/>
        </w:rPr>
        <w:t>“</w:t>
      </w:r>
      <w:r w:rsidRPr="00995ECC">
        <w:rPr>
          <w:rFonts w:ascii="微软雅黑" w:eastAsia="宋体" w:hAnsi="微软雅黑" w:cs="宋体"/>
          <w:color w:val="333333"/>
          <w:kern w:val="0"/>
          <w:sz w:val="24"/>
          <w:szCs w:val="24"/>
        </w:rPr>
        <w:t>乙方</w:t>
      </w:r>
      <w:r w:rsidRPr="00995ECC">
        <w:rPr>
          <w:rFonts w:ascii="Arial" w:eastAsia="宋体" w:hAnsi="Arial" w:cs="Arial"/>
          <w:color w:val="333333"/>
          <w:kern w:val="0"/>
          <w:sz w:val="24"/>
          <w:szCs w:val="24"/>
        </w:rPr>
        <w:t>”</w:t>
      </w:r>
      <w:r w:rsidRPr="00995ECC">
        <w:rPr>
          <w:rFonts w:ascii="微软雅黑" w:eastAsia="宋体" w:hAnsi="微软雅黑" w:cs="宋体"/>
          <w:color w:val="333333"/>
          <w:kern w:val="0"/>
          <w:sz w:val="24"/>
          <w:szCs w:val="24"/>
        </w:rPr>
        <w:t>或</w:t>
      </w:r>
      <w:r w:rsidRPr="00995ECC">
        <w:rPr>
          <w:rFonts w:ascii="Arial" w:eastAsia="宋体" w:hAnsi="Arial" w:cs="Arial"/>
          <w:color w:val="333333"/>
          <w:kern w:val="0"/>
          <w:sz w:val="24"/>
          <w:szCs w:val="24"/>
        </w:rPr>
        <w:t>“</w:t>
      </w:r>
      <w:r w:rsidR="00472A05">
        <w:rPr>
          <w:rFonts w:ascii="微软雅黑" w:eastAsia="宋体" w:hAnsi="微软雅黑" w:cs="宋体"/>
          <w:color w:val="333333"/>
          <w:kern w:val="0"/>
          <w:sz w:val="24"/>
          <w:szCs w:val="24"/>
        </w:rPr>
        <w:t>华安</w:t>
      </w:r>
      <w:r w:rsidRPr="00995ECC">
        <w:rPr>
          <w:rFonts w:ascii="微软雅黑" w:eastAsia="宋体" w:hAnsi="微软雅黑" w:cs="宋体"/>
          <w:color w:val="333333"/>
          <w:kern w:val="0"/>
          <w:sz w:val="24"/>
          <w:szCs w:val="24"/>
        </w:rPr>
        <w:t>基金</w:t>
      </w:r>
      <w:r w:rsidRPr="00995ECC">
        <w:rPr>
          <w:rFonts w:ascii="Arial" w:eastAsia="宋体" w:hAnsi="Arial" w:cs="Arial"/>
          <w:color w:val="333333"/>
          <w:kern w:val="0"/>
          <w:sz w:val="24"/>
          <w:szCs w:val="24"/>
        </w:rPr>
        <w:t>”</w:t>
      </w:r>
      <w:r w:rsidRPr="00995ECC">
        <w:rPr>
          <w:rFonts w:ascii="微软雅黑" w:eastAsia="宋体" w:hAnsi="微软雅黑" w:cs="宋体"/>
          <w:color w:val="333333"/>
          <w:kern w:val="0"/>
          <w:sz w:val="24"/>
          <w:szCs w:val="24"/>
        </w:rPr>
        <w:t>）</w:t>
      </w:r>
      <w:r w:rsidRPr="00995ECC">
        <w:rPr>
          <w:rFonts w:ascii="Arial" w:eastAsia="宋体" w:hAnsi="Arial" w:cs="Arial"/>
          <w:color w:val="333333"/>
          <w:kern w:val="0"/>
          <w:sz w:val="24"/>
          <w:szCs w:val="24"/>
        </w:rPr>
        <w:t> </w:t>
      </w:r>
    </w:p>
    <w:p w14:paraId="47EAAC52" w14:textId="77777777" w:rsidR="00AF0566" w:rsidRDefault="00AF0566" w:rsidP="00AF0566">
      <w:pPr>
        <w:widowControl/>
        <w:shd w:val="clear" w:color="auto" w:fill="FFFFFF"/>
        <w:spacing w:line="360" w:lineRule="auto"/>
        <w:ind w:rightChars="-162" w:right="-340"/>
        <w:jc w:val="left"/>
        <w:rPr>
          <w:rFonts w:ascii="Arial" w:eastAsia="宋体" w:hAnsi="Arial" w:cs="Arial"/>
          <w:color w:val="333333"/>
          <w:kern w:val="0"/>
          <w:sz w:val="24"/>
          <w:szCs w:val="24"/>
        </w:rPr>
      </w:pPr>
    </w:p>
    <w:p w14:paraId="10E19943" w14:textId="77777777" w:rsidR="00AF0566" w:rsidRDefault="00995ECC" w:rsidP="00AF0566">
      <w:pPr>
        <w:widowControl/>
        <w:shd w:val="clear" w:color="auto" w:fill="FFFFFF"/>
        <w:spacing w:line="360" w:lineRule="auto"/>
        <w:ind w:rightChars="-162" w:right="-340" w:firstLineChars="200" w:firstLine="480"/>
        <w:jc w:val="left"/>
        <w:rPr>
          <w:rFonts w:ascii="Arial" w:eastAsia="宋体" w:hAnsi="Arial" w:cs="Arial"/>
          <w:color w:val="333333"/>
          <w:kern w:val="0"/>
          <w:sz w:val="24"/>
          <w:szCs w:val="24"/>
        </w:rPr>
      </w:pPr>
      <w:r w:rsidRPr="00995ECC">
        <w:rPr>
          <w:rFonts w:ascii="微软雅黑" w:eastAsia="宋体" w:hAnsi="微软雅黑" w:cs="宋体"/>
          <w:color w:val="333333"/>
          <w:kern w:val="0"/>
          <w:sz w:val="24"/>
          <w:szCs w:val="24"/>
        </w:rPr>
        <w:t>根据相关法律、法规，甲、乙双方本着自愿、平等、互利的原则，就甲方通过乙方网上交易系统办理乙方管理的开放式基金（以下简称</w:t>
      </w:r>
      <w:r w:rsidRPr="00995ECC">
        <w:rPr>
          <w:rFonts w:ascii="Arial" w:eastAsia="宋体" w:hAnsi="Arial" w:cs="Arial"/>
          <w:color w:val="333333"/>
          <w:kern w:val="0"/>
          <w:sz w:val="24"/>
          <w:szCs w:val="24"/>
        </w:rPr>
        <w:t>“</w:t>
      </w:r>
      <w:r w:rsidRPr="00995ECC">
        <w:rPr>
          <w:rFonts w:ascii="微软雅黑" w:eastAsia="宋体" w:hAnsi="微软雅黑" w:cs="宋体"/>
          <w:color w:val="333333"/>
          <w:kern w:val="0"/>
          <w:sz w:val="24"/>
          <w:szCs w:val="24"/>
        </w:rPr>
        <w:t>基金</w:t>
      </w:r>
      <w:r w:rsidRPr="00995ECC">
        <w:rPr>
          <w:rFonts w:ascii="Arial" w:eastAsia="宋体" w:hAnsi="Arial" w:cs="Arial"/>
          <w:color w:val="333333"/>
          <w:kern w:val="0"/>
          <w:sz w:val="24"/>
          <w:szCs w:val="24"/>
        </w:rPr>
        <w:t>”</w:t>
      </w:r>
      <w:r w:rsidRPr="00995ECC">
        <w:rPr>
          <w:rFonts w:ascii="微软雅黑" w:eastAsia="宋体" w:hAnsi="微软雅黑" w:cs="宋体"/>
          <w:color w:val="333333"/>
          <w:kern w:val="0"/>
          <w:sz w:val="24"/>
          <w:szCs w:val="24"/>
        </w:rPr>
        <w:t>）定期定额申购业务及相关的资金结算事宜达成以下协议（以下简称</w:t>
      </w:r>
      <w:r w:rsidRPr="00995ECC">
        <w:rPr>
          <w:rFonts w:ascii="Arial" w:eastAsia="宋体" w:hAnsi="Arial" w:cs="Arial"/>
          <w:color w:val="333333"/>
          <w:kern w:val="0"/>
          <w:sz w:val="24"/>
          <w:szCs w:val="24"/>
        </w:rPr>
        <w:t>“</w:t>
      </w:r>
      <w:r w:rsidRPr="00995ECC">
        <w:rPr>
          <w:rFonts w:ascii="微软雅黑" w:eastAsia="宋体" w:hAnsi="微软雅黑" w:cs="宋体"/>
          <w:color w:val="333333"/>
          <w:kern w:val="0"/>
          <w:sz w:val="24"/>
          <w:szCs w:val="24"/>
        </w:rPr>
        <w:t>本协议</w:t>
      </w:r>
      <w:r w:rsidRPr="00995ECC">
        <w:rPr>
          <w:rFonts w:ascii="Arial" w:eastAsia="宋体" w:hAnsi="Arial" w:cs="Arial"/>
          <w:color w:val="333333"/>
          <w:kern w:val="0"/>
          <w:sz w:val="24"/>
          <w:szCs w:val="24"/>
        </w:rPr>
        <w:t>”</w:t>
      </w:r>
      <w:r w:rsidRPr="00995ECC">
        <w:rPr>
          <w:rFonts w:ascii="微软雅黑" w:eastAsia="宋体" w:hAnsi="微软雅黑" w:cs="宋体"/>
          <w:color w:val="333333"/>
          <w:kern w:val="0"/>
          <w:sz w:val="24"/>
          <w:szCs w:val="24"/>
        </w:rPr>
        <w:t>）。</w:t>
      </w:r>
      <w:r w:rsidRPr="00AF0566">
        <w:rPr>
          <w:rFonts w:ascii="Arial" w:eastAsia="宋体" w:hAnsi="Arial" w:cs="Arial"/>
          <w:color w:val="333333"/>
          <w:kern w:val="0"/>
          <w:sz w:val="24"/>
          <w:szCs w:val="24"/>
        </w:rPr>
        <w:t> </w:t>
      </w:r>
    </w:p>
    <w:p w14:paraId="39C16027" w14:textId="77777777" w:rsidR="00F53BFE" w:rsidRDefault="00F53BFE" w:rsidP="00AF0566">
      <w:pPr>
        <w:widowControl/>
        <w:shd w:val="clear" w:color="auto" w:fill="FFFFFF"/>
        <w:spacing w:line="360" w:lineRule="auto"/>
        <w:ind w:rightChars="-162" w:right="-340" w:firstLineChars="200" w:firstLine="480"/>
        <w:jc w:val="left"/>
        <w:rPr>
          <w:rFonts w:ascii="Arial" w:eastAsia="宋体" w:hAnsi="Arial" w:cs="Arial"/>
          <w:color w:val="333333"/>
          <w:kern w:val="0"/>
          <w:sz w:val="24"/>
          <w:szCs w:val="24"/>
        </w:rPr>
      </w:pPr>
    </w:p>
    <w:p w14:paraId="4A929694" w14:textId="77777777" w:rsidR="00AF0566" w:rsidRPr="00AF0566" w:rsidRDefault="00AF0566" w:rsidP="00AF0566">
      <w:pPr>
        <w:widowControl/>
        <w:shd w:val="clear" w:color="auto" w:fill="FFFFFF"/>
        <w:spacing w:line="360" w:lineRule="auto"/>
        <w:ind w:rightChars="-162" w:right="-340" w:firstLineChars="200" w:firstLine="482"/>
        <w:jc w:val="left"/>
        <w:rPr>
          <w:rFonts w:ascii="Arial" w:eastAsia="宋体" w:hAnsi="Arial" w:cs="Arial"/>
          <w:b/>
          <w:color w:val="333333"/>
          <w:kern w:val="0"/>
          <w:sz w:val="24"/>
          <w:szCs w:val="24"/>
        </w:rPr>
      </w:pPr>
      <w:r w:rsidRPr="00AF0566">
        <w:rPr>
          <w:rFonts w:ascii="Arial" w:eastAsia="宋体" w:hAnsi="Arial" w:cs="Arial"/>
          <w:b/>
          <w:color w:val="333333"/>
          <w:kern w:val="0"/>
          <w:sz w:val="24"/>
          <w:szCs w:val="24"/>
        </w:rPr>
        <w:t>第一条</w:t>
      </w:r>
      <w:r w:rsidRPr="00AF0566">
        <w:rPr>
          <w:rFonts w:ascii="Arial" w:eastAsia="宋体" w:hAnsi="Arial" w:cs="Arial" w:hint="eastAsia"/>
          <w:b/>
          <w:color w:val="333333"/>
          <w:kern w:val="0"/>
          <w:sz w:val="24"/>
          <w:szCs w:val="24"/>
        </w:rPr>
        <w:t xml:space="preserve"> </w:t>
      </w:r>
      <w:r w:rsidR="00995ECC" w:rsidRPr="00AF0566">
        <w:rPr>
          <w:rFonts w:ascii="微软雅黑" w:eastAsia="宋体" w:hAnsi="微软雅黑" w:cs="宋体"/>
          <w:b/>
          <w:color w:val="333333"/>
          <w:kern w:val="0"/>
          <w:sz w:val="24"/>
          <w:szCs w:val="24"/>
        </w:rPr>
        <w:t>定义</w:t>
      </w:r>
    </w:p>
    <w:p w14:paraId="74A78082" w14:textId="68C879A8" w:rsidR="00995ECC" w:rsidRPr="00AF0566" w:rsidRDefault="0011038E" w:rsidP="00AF0566">
      <w:pPr>
        <w:pStyle w:val="a3"/>
        <w:widowControl/>
        <w:numPr>
          <w:ilvl w:val="1"/>
          <w:numId w:val="3"/>
        </w:numPr>
        <w:shd w:val="clear" w:color="auto" w:fill="FFFFFF"/>
        <w:spacing w:line="360" w:lineRule="auto"/>
        <w:ind w:rightChars="-162" w:right="-340" w:firstLineChars="0"/>
        <w:jc w:val="left"/>
        <w:rPr>
          <w:rFonts w:ascii="微软雅黑" w:eastAsia="宋体" w:hAnsi="微软雅黑" w:cs="宋体"/>
          <w:color w:val="333333"/>
          <w:kern w:val="0"/>
          <w:sz w:val="24"/>
          <w:szCs w:val="24"/>
        </w:rPr>
      </w:pPr>
      <w:r>
        <w:rPr>
          <w:rFonts w:ascii="微软雅黑" w:eastAsia="宋体" w:hAnsi="微软雅黑" w:cs="宋体"/>
          <w:color w:val="333333"/>
          <w:kern w:val="0"/>
          <w:sz w:val="24"/>
          <w:szCs w:val="24"/>
        </w:rPr>
        <w:t>“</w:t>
      </w:r>
      <w:r w:rsidR="00995ECC" w:rsidRPr="00AF0566">
        <w:rPr>
          <w:rFonts w:ascii="微软雅黑" w:eastAsia="宋体" w:hAnsi="微软雅黑" w:cs="宋体"/>
          <w:color w:val="333333"/>
          <w:kern w:val="0"/>
          <w:sz w:val="24"/>
          <w:szCs w:val="24"/>
        </w:rPr>
        <w:t>网上交易定期定额申购业务</w:t>
      </w:r>
      <w:r w:rsidR="00995ECC" w:rsidRPr="00AF0566">
        <w:rPr>
          <w:rFonts w:ascii="微软雅黑" w:eastAsia="宋体" w:hAnsi="微软雅黑" w:cs="宋体"/>
          <w:color w:val="333333"/>
          <w:kern w:val="0"/>
          <w:sz w:val="24"/>
          <w:szCs w:val="24"/>
        </w:rPr>
        <w:t>”</w:t>
      </w:r>
      <w:r w:rsidR="00995ECC" w:rsidRPr="00AF0566">
        <w:rPr>
          <w:rFonts w:ascii="微软雅黑" w:eastAsia="宋体" w:hAnsi="微软雅黑" w:cs="宋体"/>
          <w:color w:val="333333"/>
          <w:kern w:val="0"/>
          <w:sz w:val="24"/>
          <w:szCs w:val="24"/>
        </w:rPr>
        <w:t>指甲方通过</w:t>
      </w:r>
      <w:r w:rsidR="00472A05">
        <w:rPr>
          <w:rFonts w:ascii="微软雅黑" w:eastAsia="宋体" w:hAnsi="微软雅黑" w:cs="宋体"/>
          <w:color w:val="333333"/>
          <w:kern w:val="0"/>
          <w:sz w:val="24"/>
          <w:szCs w:val="24"/>
        </w:rPr>
        <w:t>华安</w:t>
      </w:r>
      <w:r w:rsidR="00995ECC" w:rsidRPr="00AF0566">
        <w:rPr>
          <w:rFonts w:ascii="微软雅黑" w:eastAsia="宋体" w:hAnsi="微软雅黑" w:cs="宋体"/>
          <w:color w:val="333333"/>
          <w:kern w:val="0"/>
          <w:sz w:val="24"/>
          <w:szCs w:val="24"/>
        </w:rPr>
        <w:t>基金网上交易系统提交申请，约定每月或每周</w:t>
      </w:r>
      <w:r>
        <w:rPr>
          <w:rFonts w:ascii="微软雅黑" w:eastAsia="宋体" w:hAnsi="微软雅黑" w:cs="宋体"/>
          <w:color w:val="333333"/>
          <w:kern w:val="0"/>
          <w:sz w:val="24"/>
          <w:szCs w:val="24"/>
        </w:rPr>
        <w:t>（或其他固定周期）</w:t>
      </w:r>
      <w:r w:rsidR="00995ECC" w:rsidRPr="00AF0566">
        <w:rPr>
          <w:rFonts w:ascii="微软雅黑" w:eastAsia="宋体" w:hAnsi="微软雅黑" w:cs="宋体"/>
          <w:color w:val="333333"/>
          <w:kern w:val="0"/>
          <w:sz w:val="24"/>
          <w:szCs w:val="24"/>
        </w:rPr>
        <w:t>扣款日期、扣款金额、投资基金的名称</w:t>
      </w:r>
      <w:r w:rsidR="004E3B0A">
        <w:rPr>
          <w:rFonts w:ascii="微软雅黑" w:eastAsia="宋体" w:hAnsi="微软雅黑" w:cs="宋体" w:hint="eastAsia"/>
          <w:color w:val="333333"/>
          <w:kern w:val="0"/>
          <w:sz w:val="24"/>
          <w:szCs w:val="24"/>
        </w:rPr>
        <w:t>、扣款银行账户或资金账户</w:t>
      </w:r>
      <w:r w:rsidR="00995ECC" w:rsidRPr="00AF0566">
        <w:rPr>
          <w:rFonts w:ascii="微软雅黑" w:eastAsia="宋体" w:hAnsi="微软雅黑" w:cs="宋体"/>
          <w:color w:val="333333"/>
          <w:kern w:val="0"/>
          <w:sz w:val="24"/>
          <w:szCs w:val="24"/>
        </w:rPr>
        <w:t>等，由</w:t>
      </w:r>
      <w:r w:rsidR="00472A05">
        <w:rPr>
          <w:rFonts w:ascii="微软雅黑" w:eastAsia="宋体" w:hAnsi="微软雅黑" w:cs="宋体"/>
          <w:color w:val="333333"/>
          <w:kern w:val="0"/>
          <w:sz w:val="24"/>
          <w:szCs w:val="24"/>
        </w:rPr>
        <w:t>华安</w:t>
      </w:r>
      <w:r w:rsidR="00995ECC" w:rsidRPr="00AF0566">
        <w:rPr>
          <w:rFonts w:ascii="微软雅黑" w:eastAsia="宋体" w:hAnsi="微软雅黑" w:cs="宋体"/>
          <w:color w:val="333333"/>
          <w:kern w:val="0"/>
          <w:sz w:val="24"/>
          <w:szCs w:val="24"/>
        </w:rPr>
        <w:t>基金网上交易系统于约定扣款日</w:t>
      </w:r>
      <w:r w:rsidR="004E3B0A">
        <w:rPr>
          <w:rFonts w:ascii="微软雅黑" w:eastAsia="宋体" w:hAnsi="微软雅黑" w:cs="宋体" w:hint="eastAsia"/>
          <w:color w:val="333333"/>
          <w:kern w:val="0"/>
          <w:sz w:val="24"/>
          <w:szCs w:val="24"/>
        </w:rPr>
        <w:t>向</w:t>
      </w:r>
      <w:r w:rsidR="00995ECC" w:rsidRPr="00AF0566">
        <w:rPr>
          <w:rFonts w:ascii="微软雅黑" w:eastAsia="宋体" w:hAnsi="微软雅黑" w:cs="宋体"/>
          <w:color w:val="333333"/>
          <w:kern w:val="0"/>
          <w:sz w:val="24"/>
          <w:szCs w:val="24"/>
        </w:rPr>
        <w:t>甲方指定的</w:t>
      </w:r>
      <w:r w:rsidR="004E3B0A">
        <w:rPr>
          <w:rFonts w:ascii="微软雅黑" w:eastAsia="宋体" w:hAnsi="微软雅黑" w:cs="宋体" w:hint="eastAsia"/>
          <w:color w:val="333333"/>
          <w:kern w:val="0"/>
          <w:sz w:val="24"/>
          <w:szCs w:val="24"/>
        </w:rPr>
        <w:t>银行卡或</w:t>
      </w:r>
      <w:r w:rsidR="00995ECC" w:rsidRPr="00AF0566">
        <w:rPr>
          <w:rFonts w:ascii="微软雅黑" w:eastAsia="宋体" w:hAnsi="微软雅黑" w:cs="宋体"/>
          <w:color w:val="333333"/>
          <w:kern w:val="0"/>
          <w:sz w:val="24"/>
          <w:szCs w:val="24"/>
        </w:rPr>
        <w:t>资金账户内</w:t>
      </w:r>
      <w:r w:rsidR="004E3B0A">
        <w:rPr>
          <w:rFonts w:ascii="微软雅黑" w:eastAsia="宋体" w:hAnsi="微软雅黑" w:cs="宋体" w:hint="eastAsia"/>
          <w:color w:val="333333"/>
          <w:kern w:val="0"/>
          <w:sz w:val="24"/>
          <w:szCs w:val="24"/>
        </w:rPr>
        <w:t>发出扣款指令并提交</w:t>
      </w:r>
      <w:r w:rsidR="00995ECC" w:rsidRPr="00AF0566">
        <w:rPr>
          <w:rFonts w:ascii="微软雅黑" w:eastAsia="宋体" w:hAnsi="微软雅黑" w:cs="宋体"/>
          <w:color w:val="333333"/>
          <w:kern w:val="0"/>
          <w:sz w:val="24"/>
          <w:szCs w:val="24"/>
        </w:rPr>
        <w:t>基金申购申请的一种基金投资方式。</w:t>
      </w:r>
    </w:p>
    <w:p w14:paraId="58F9E5C6" w14:textId="77777777" w:rsidR="00995ECC" w:rsidRPr="00AF0566" w:rsidRDefault="00995ECC" w:rsidP="00AF0566">
      <w:pPr>
        <w:pStyle w:val="a3"/>
        <w:widowControl/>
        <w:numPr>
          <w:ilvl w:val="1"/>
          <w:numId w:val="3"/>
        </w:numPr>
        <w:shd w:val="clear" w:color="auto" w:fill="FFFFFF"/>
        <w:spacing w:line="360" w:lineRule="auto"/>
        <w:ind w:rightChars="-162" w:right="-340"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网上交易定期定额申购业务扣款方式</w:t>
      </w: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指委托转账收付款方式。</w:t>
      </w:r>
    </w:p>
    <w:p w14:paraId="05F0C229" w14:textId="7F12862F" w:rsidR="00995ECC" w:rsidRDefault="00EE69CF" w:rsidP="00AF0566">
      <w:pPr>
        <w:pStyle w:val="a3"/>
        <w:widowControl/>
        <w:numPr>
          <w:ilvl w:val="1"/>
          <w:numId w:val="3"/>
        </w:numPr>
        <w:shd w:val="clear" w:color="auto" w:fill="FFFFFF"/>
        <w:spacing w:line="360" w:lineRule="auto"/>
        <w:ind w:rightChars="-162" w:right="-340" w:firstLineChars="0"/>
        <w:jc w:val="left"/>
        <w:rPr>
          <w:rFonts w:ascii="微软雅黑" w:eastAsia="宋体" w:hAnsi="微软雅黑" w:cs="宋体"/>
          <w:color w:val="333333"/>
          <w:kern w:val="0"/>
          <w:sz w:val="24"/>
          <w:szCs w:val="24"/>
        </w:rPr>
      </w:pPr>
      <w:r>
        <w:rPr>
          <w:rFonts w:ascii="微软雅黑" w:eastAsia="宋体" w:hAnsi="微软雅黑" w:cs="宋体"/>
          <w:color w:val="333333"/>
          <w:kern w:val="0"/>
          <w:sz w:val="24"/>
          <w:szCs w:val="24"/>
        </w:rPr>
        <w:t>“</w:t>
      </w:r>
      <w:r w:rsidR="00995ECC" w:rsidRPr="00995ECC">
        <w:rPr>
          <w:rFonts w:ascii="微软雅黑" w:eastAsia="宋体" w:hAnsi="微软雅黑" w:cs="宋体"/>
          <w:color w:val="333333"/>
          <w:kern w:val="0"/>
          <w:sz w:val="24"/>
          <w:szCs w:val="24"/>
        </w:rPr>
        <w:t>投资者</w:t>
      </w:r>
      <w:r w:rsidR="00995ECC" w:rsidRPr="00995ECC">
        <w:rPr>
          <w:rFonts w:ascii="微软雅黑" w:eastAsia="宋体" w:hAnsi="微软雅黑" w:cs="宋体"/>
          <w:color w:val="333333"/>
          <w:kern w:val="0"/>
          <w:sz w:val="24"/>
          <w:szCs w:val="24"/>
        </w:rPr>
        <w:t>”</w:t>
      </w:r>
      <w:r w:rsidR="00995ECC" w:rsidRPr="00995ECC">
        <w:rPr>
          <w:rFonts w:ascii="微软雅黑" w:eastAsia="宋体" w:hAnsi="微软雅黑" w:cs="宋体"/>
          <w:color w:val="333333"/>
          <w:kern w:val="0"/>
          <w:sz w:val="24"/>
          <w:szCs w:val="24"/>
        </w:rPr>
        <w:t>指符合基金合同要求的且持有</w:t>
      </w:r>
      <w:r w:rsidR="00472A05">
        <w:rPr>
          <w:rFonts w:ascii="微软雅黑" w:eastAsia="宋体" w:hAnsi="微软雅黑" w:cs="宋体"/>
          <w:color w:val="333333"/>
          <w:kern w:val="0"/>
          <w:sz w:val="24"/>
          <w:szCs w:val="24"/>
        </w:rPr>
        <w:t>华安</w:t>
      </w:r>
      <w:r w:rsidR="00995ECC" w:rsidRPr="00995ECC">
        <w:rPr>
          <w:rFonts w:ascii="微软雅黑" w:eastAsia="宋体" w:hAnsi="微软雅黑" w:cs="宋体"/>
          <w:color w:val="333333"/>
          <w:kern w:val="0"/>
          <w:sz w:val="24"/>
          <w:szCs w:val="24"/>
        </w:rPr>
        <w:t>基金网上交易定期定额申购业务所支持的银行卡</w:t>
      </w:r>
      <w:r w:rsidR="004E3B0A">
        <w:rPr>
          <w:rFonts w:ascii="微软雅黑" w:eastAsia="宋体" w:hAnsi="微软雅黑" w:cs="宋体" w:hint="eastAsia"/>
          <w:color w:val="333333"/>
          <w:kern w:val="0"/>
          <w:sz w:val="24"/>
          <w:szCs w:val="24"/>
        </w:rPr>
        <w:t>或资金账户</w:t>
      </w:r>
      <w:r w:rsidR="00995ECC" w:rsidRPr="00995ECC">
        <w:rPr>
          <w:rFonts w:ascii="微软雅黑" w:eastAsia="宋体" w:hAnsi="微软雅黑" w:cs="宋体"/>
          <w:color w:val="333333"/>
          <w:kern w:val="0"/>
          <w:sz w:val="24"/>
          <w:szCs w:val="24"/>
        </w:rPr>
        <w:t>的</w:t>
      </w:r>
      <w:r w:rsidR="00472A05">
        <w:rPr>
          <w:rFonts w:ascii="微软雅黑" w:eastAsia="宋体" w:hAnsi="微软雅黑" w:cs="宋体"/>
          <w:color w:val="333333"/>
          <w:kern w:val="0"/>
          <w:sz w:val="24"/>
          <w:szCs w:val="24"/>
        </w:rPr>
        <w:t>华安</w:t>
      </w:r>
      <w:r w:rsidR="00995ECC" w:rsidRPr="00AF0566">
        <w:rPr>
          <w:rFonts w:ascii="微软雅黑" w:eastAsia="宋体" w:hAnsi="微软雅黑" w:cs="宋体"/>
          <w:color w:val="333333"/>
          <w:kern w:val="0"/>
          <w:sz w:val="24"/>
          <w:szCs w:val="24"/>
        </w:rPr>
        <w:t>基金网上交易客户。</w:t>
      </w:r>
    </w:p>
    <w:p w14:paraId="00556196" w14:textId="77777777" w:rsidR="00F53BFE" w:rsidRPr="00EE69CF" w:rsidRDefault="00F53BFE" w:rsidP="00F53BFE">
      <w:pPr>
        <w:pStyle w:val="a3"/>
        <w:widowControl/>
        <w:shd w:val="clear" w:color="auto" w:fill="FFFFFF"/>
        <w:spacing w:line="360" w:lineRule="auto"/>
        <w:ind w:left="510" w:rightChars="-162" w:right="-340" w:firstLineChars="0" w:firstLine="0"/>
        <w:jc w:val="left"/>
        <w:rPr>
          <w:rFonts w:ascii="微软雅黑" w:eastAsia="宋体" w:hAnsi="微软雅黑" w:cs="宋体"/>
          <w:color w:val="333333"/>
          <w:kern w:val="0"/>
          <w:sz w:val="24"/>
          <w:szCs w:val="24"/>
        </w:rPr>
      </w:pPr>
    </w:p>
    <w:p w14:paraId="668D5DEE" w14:textId="77777777" w:rsidR="00AF0566" w:rsidRDefault="00995ECC" w:rsidP="00995ECC">
      <w:pPr>
        <w:widowControl/>
        <w:shd w:val="clear" w:color="auto" w:fill="FFFFFF"/>
        <w:spacing w:line="360" w:lineRule="auto"/>
        <w:jc w:val="left"/>
        <w:rPr>
          <w:rFonts w:ascii="Arial" w:eastAsia="宋体" w:hAnsi="Arial" w:cs="Arial"/>
          <w:b/>
          <w:color w:val="333333"/>
          <w:kern w:val="0"/>
          <w:sz w:val="24"/>
          <w:szCs w:val="24"/>
        </w:rPr>
      </w:pPr>
      <w:r w:rsidRPr="00995ECC">
        <w:rPr>
          <w:rFonts w:ascii="Arial" w:eastAsia="宋体" w:hAnsi="Arial" w:cs="Arial"/>
          <w:b/>
          <w:color w:val="333333"/>
          <w:kern w:val="0"/>
          <w:sz w:val="24"/>
          <w:szCs w:val="24"/>
        </w:rPr>
        <w:t>     </w:t>
      </w:r>
      <w:r w:rsidRPr="00995ECC">
        <w:rPr>
          <w:rFonts w:ascii="Arial" w:eastAsia="宋体" w:hAnsi="Arial" w:cs="Arial"/>
          <w:b/>
          <w:color w:val="333333"/>
          <w:kern w:val="0"/>
          <w:sz w:val="24"/>
          <w:szCs w:val="24"/>
        </w:rPr>
        <w:t>第二条</w:t>
      </w:r>
      <w:r w:rsidRPr="00AF0566">
        <w:rPr>
          <w:rFonts w:ascii="Arial" w:eastAsia="宋体" w:hAnsi="Arial" w:cs="Arial" w:hint="eastAsia"/>
          <w:b/>
          <w:color w:val="333333"/>
          <w:kern w:val="0"/>
          <w:sz w:val="24"/>
          <w:szCs w:val="24"/>
        </w:rPr>
        <w:t xml:space="preserve"> </w:t>
      </w:r>
      <w:r w:rsidR="00AF0566">
        <w:rPr>
          <w:rFonts w:ascii="Arial" w:eastAsia="宋体" w:hAnsi="Arial" w:cs="Arial" w:hint="eastAsia"/>
          <w:b/>
          <w:color w:val="333333"/>
          <w:kern w:val="0"/>
          <w:sz w:val="24"/>
          <w:szCs w:val="24"/>
        </w:rPr>
        <w:t>定期定额交易业务规则</w:t>
      </w:r>
    </w:p>
    <w:p w14:paraId="58595445" w14:textId="77777777" w:rsidR="00AF0566"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甲方办理定期定额申购业务，应遵循如下规则：</w:t>
      </w:r>
    </w:p>
    <w:p w14:paraId="7602B700" w14:textId="77777777" w:rsidR="00995ECC" w:rsidRPr="00AF0566" w:rsidRDefault="00AF0566" w:rsidP="00AF0566">
      <w:pPr>
        <w:pStyle w:val="a3"/>
        <w:widowControl/>
        <w:numPr>
          <w:ilvl w:val="0"/>
          <w:numId w:val="4"/>
        </w:numPr>
        <w:shd w:val="clear" w:color="auto" w:fill="FFFFFF"/>
        <w:spacing w:line="360" w:lineRule="auto"/>
        <w:ind w:rightChars="-162" w:right="-340" w:firstLineChars="0"/>
        <w:jc w:val="left"/>
        <w:rPr>
          <w:rFonts w:ascii="微软雅黑" w:eastAsia="宋体" w:hAnsi="微软雅黑" w:cs="宋体"/>
          <w:color w:val="333333"/>
          <w:kern w:val="0"/>
          <w:sz w:val="24"/>
          <w:szCs w:val="24"/>
        </w:rPr>
      </w:pPr>
      <w:r>
        <w:rPr>
          <w:rFonts w:ascii="微软雅黑" w:eastAsia="宋体" w:hAnsi="微软雅黑" w:cs="宋体"/>
          <w:color w:val="333333"/>
          <w:kern w:val="0"/>
          <w:sz w:val="24"/>
          <w:szCs w:val="24"/>
        </w:rPr>
        <w:t> </w:t>
      </w:r>
      <w:r w:rsidR="00995ECC" w:rsidRPr="00995ECC">
        <w:rPr>
          <w:rFonts w:ascii="微软雅黑" w:eastAsia="宋体" w:hAnsi="微软雅黑" w:cs="宋体"/>
          <w:color w:val="333333"/>
          <w:kern w:val="0"/>
          <w:sz w:val="24"/>
          <w:szCs w:val="24"/>
        </w:rPr>
        <w:t>交易原则</w:t>
      </w:r>
    </w:p>
    <w:p w14:paraId="61337655" w14:textId="77777777"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网上交易定期定额申购业务遵循</w:t>
      </w: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未知价</w:t>
      </w: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和</w:t>
      </w: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金额申购</w:t>
      </w: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的原则。</w:t>
      </w: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未知价</w:t>
      </w: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是指甲方开通网上交易定期定额申购业务后，每次申购的价格以实际扣款日收</w:t>
      </w:r>
      <w:r w:rsidRPr="00995ECC">
        <w:rPr>
          <w:rFonts w:ascii="微软雅黑" w:eastAsia="宋体" w:hAnsi="微软雅黑" w:cs="宋体"/>
          <w:color w:val="333333"/>
          <w:kern w:val="0"/>
          <w:sz w:val="24"/>
          <w:szCs w:val="24"/>
        </w:rPr>
        <w:lastRenderedPageBreak/>
        <w:t>市后计算的基金份额净值为基准进行计算。</w:t>
      </w: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金额申购</w:t>
      </w:r>
      <w:r w:rsidRPr="00995ECC">
        <w:rPr>
          <w:rFonts w:ascii="微软雅黑" w:eastAsia="宋体" w:hAnsi="微软雅黑" w:cs="宋体"/>
          <w:color w:val="333333"/>
          <w:kern w:val="0"/>
          <w:sz w:val="24"/>
          <w:szCs w:val="24"/>
        </w:rPr>
        <w:t>”</w:t>
      </w:r>
      <w:r w:rsidRPr="00995ECC">
        <w:rPr>
          <w:rFonts w:ascii="微软雅黑" w:eastAsia="宋体" w:hAnsi="微软雅黑" w:cs="宋体"/>
          <w:color w:val="333333"/>
          <w:kern w:val="0"/>
          <w:sz w:val="24"/>
          <w:szCs w:val="24"/>
        </w:rPr>
        <w:t>是指甲方进行网上交易定期定额申购业务时，以金额（人民币元）为单位提交业务申请。</w:t>
      </w:r>
    </w:p>
    <w:p w14:paraId="0E4F741F" w14:textId="77777777" w:rsidR="00995ECC" w:rsidRPr="00AF0566" w:rsidRDefault="00995ECC" w:rsidP="00AF0566">
      <w:pPr>
        <w:pStyle w:val="a3"/>
        <w:widowControl/>
        <w:numPr>
          <w:ilvl w:val="0"/>
          <w:numId w:val="4"/>
        </w:numPr>
        <w:shd w:val="clear" w:color="auto" w:fill="FFFFFF"/>
        <w:spacing w:line="360" w:lineRule="auto"/>
        <w:ind w:rightChars="-162" w:right="-340"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定期定额申购基金范围和申购金额</w:t>
      </w:r>
    </w:p>
    <w:p w14:paraId="1926898E" w14:textId="77777777"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甲方通过</w:t>
      </w:r>
      <w:r w:rsidR="00472A05">
        <w:rPr>
          <w:rFonts w:ascii="微软雅黑" w:eastAsia="宋体" w:hAnsi="微软雅黑" w:cs="宋体"/>
          <w:color w:val="333333"/>
          <w:kern w:val="0"/>
          <w:sz w:val="24"/>
          <w:szCs w:val="24"/>
        </w:rPr>
        <w:t>华安</w:t>
      </w:r>
      <w:r w:rsidRPr="00995ECC">
        <w:rPr>
          <w:rFonts w:ascii="微软雅黑" w:eastAsia="宋体" w:hAnsi="微软雅黑" w:cs="宋体"/>
          <w:color w:val="333333"/>
          <w:kern w:val="0"/>
          <w:sz w:val="24"/>
          <w:szCs w:val="24"/>
        </w:rPr>
        <w:t>基金网上交易定期定额可以申购的基金范围、申购金额限制及交易级差以乙方最新公告</w:t>
      </w:r>
      <w:r w:rsidR="0011038E">
        <w:rPr>
          <w:rFonts w:ascii="微软雅黑" w:eastAsia="宋体" w:hAnsi="微软雅黑" w:cs="宋体"/>
          <w:color w:val="333333"/>
          <w:kern w:val="0"/>
          <w:sz w:val="24"/>
          <w:szCs w:val="24"/>
        </w:rPr>
        <w:t>或</w:t>
      </w:r>
      <w:r w:rsidRPr="00995ECC">
        <w:rPr>
          <w:rFonts w:ascii="微软雅黑" w:eastAsia="宋体" w:hAnsi="微软雅黑" w:cs="宋体"/>
          <w:color w:val="333333"/>
          <w:kern w:val="0"/>
          <w:sz w:val="24"/>
          <w:szCs w:val="24"/>
        </w:rPr>
        <w:t>通知为准。</w:t>
      </w:r>
    </w:p>
    <w:p w14:paraId="7677BA37" w14:textId="77777777" w:rsidR="00995ECC" w:rsidRPr="00AF0566" w:rsidRDefault="00AF0566" w:rsidP="00AF0566">
      <w:pPr>
        <w:pStyle w:val="a3"/>
        <w:widowControl/>
        <w:numPr>
          <w:ilvl w:val="0"/>
          <w:numId w:val="4"/>
        </w:numPr>
        <w:shd w:val="clear" w:color="auto" w:fill="FFFFFF"/>
        <w:spacing w:line="360" w:lineRule="auto"/>
        <w:ind w:rightChars="-162" w:right="-340" w:firstLineChars="0"/>
        <w:jc w:val="left"/>
        <w:rPr>
          <w:rFonts w:ascii="微软雅黑" w:eastAsia="宋体" w:hAnsi="微软雅黑" w:cs="宋体"/>
          <w:color w:val="333333"/>
          <w:kern w:val="0"/>
          <w:sz w:val="24"/>
          <w:szCs w:val="24"/>
        </w:rPr>
      </w:pPr>
      <w:r>
        <w:rPr>
          <w:rFonts w:ascii="微软雅黑" w:eastAsia="宋体" w:hAnsi="微软雅黑" w:cs="宋体"/>
          <w:color w:val="333333"/>
          <w:kern w:val="0"/>
          <w:sz w:val="24"/>
          <w:szCs w:val="24"/>
        </w:rPr>
        <w:t> </w:t>
      </w:r>
      <w:r w:rsidR="00995ECC" w:rsidRPr="00995ECC">
        <w:rPr>
          <w:rFonts w:ascii="微软雅黑" w:eastAsia="宋体" w:hAnsi="微软雅黑" w:cs="宋体"/>
          <w:color w:val="333333"/>
          <w:kern w:val="0"/>
          <w:sz w:val="24"/>
          <w:szCs w:val="24"/>
        </w:rPr>
        <w:t>适用费率</w:t>
      </w:r>
    </w:p>
    <w:p w14:paraId="6A2FC192" w14:textId="77777777"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网上交易定期定额申购费率及计费方式以定期定额申购申请实际扣款日的对应基金网上交易定期定额申购费率及计费方式为准。若费率有变动，以乙方最新公告</w:t>
      </w:r>
      <w:r w:rsidR="0011038E">
        <w:rPr>
          <w:rFonts w:ascii="微软雅黑" w:eastAsia="宋体" w:hAnsi="微软雅黑" w:cs="宋体"/>
          <w:color w:val="333333"/>
          <w:kern w:val="0"/>
          <w:sz w:val="24"/>
          <w:szCs w:val="24"/>
        </w:rPr>
        <w:t>或</w:t>
      </w:r>
      <w:r w:rsidRPr="00995ECC">
        <w:rPr>
          <w:rFonts w:ascii="微软雅黑" w:eastAsia="宋体" w:hAnsi="微软雅黑" w:cs="宋体"/>
          <w:color w:val="333333"/>
          <w:kern w:val="0"/>
          <w:sz w:val="24"/>
          <w:szCs w:val="24"/>
        </w:rPr>
        <w:t>通知为准。</w:t>
      </w:r>
    </w:p>
    <w:p w14:paraId="4521E5F7" w14:textId="77777777" w:rsidR="00995ECC" w:rsidRPr="00AF0566" w:rsidRDefault="00995ECC" w:rsidP="00AF0566">
      <w:pPr>
        <w:pStyle w:val="a3"/>
        <w:widowControl/>
        <w:numPr>
          <w:ilvl w:val="0"/>
          <w:numId w:val="4"/>
        </w:numPr>
        <w:shd w:val="clear" w:color="auto" w:fill="FFFFFF"/>
        <w:spacing w:line="360" w:lineRule="auto"/>
        <w:ind w:rightChars="-162" w:right="-340"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扣款日期</w:t>
      </w:r>
    </w:p>
    <w:p w14:paraId="40800C19" w14:textId="77777777"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 </w:t>
      </w:r>
      <w:r w:rsidRPr="00995ECC">
        <w:rPr>
          <w:rFonts w:ascii="微软雅黑" w:eastAsia="宋体" w:hAnsi="微软雅黑" w:cs="宋体"/>
          <w:color w:val="333333"/>
          <w:kern w:val="0"/>
          <w:sz w:val="24"/>
          <w:szCs w:val="24"/>
        </w:rPr>
        <w:t>甲方在开立定期定额申购计划时须选择扣款日期，该扣款日期即被视为基金合同中约定的申购申请日（Ｔ日）。</w:t>
      </w:r>
    </w:p>
    <w:p w14:paraId="0B5CECFB" w14:textId="77777777"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若甲方开立定期定额申购计划时选择的终止日期与约定扣款日期为同一自然日（包括节假日等非基金开放日），则该自然日的定期定额申购申请依然处理。</w:t>
      </w:r>
    </w:p>
    <w:p w14:paraId="06FC211E" w14:textId="6DF02095"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 </w:t>
      </w:r>
      <w:r w:rsidR="00BD4E71" w:rsidRPr="00EE69CF">
        <w:rPr>
          <w:rFonts w:ascii="微软雅黑" w:eastAsia="宋体" w:hAnsi="微软雅黑" w:cs="宋体"/>
          <w:color w:val="333333"/>
          <w:kern w:val="0"/>
          <w:sz w:val="24"/>
          <w:szCs w:val="24"/>
        </w:rPr>
        <w:t>若甲方约定扣款日为</w:t>
      </w:r>
      <w:r w:rsidR="00BD4E71">
        <w:rPr>
          <w:rFonts w:ascii="微软雅黑" w:eastAsia="宋体" w:hAnsi="微软雅黑" w:cs="宋体" w:hint="eastAsia"/>
          <w:color w:val="333333"/>
          <w:kern w:val="0"/>
          <w:sz w:val="24"/>
          <w:szCs w:val="24"/>
        </w:rPr>
        <w:t>节假日</w:t>
      </w:r>
      <w:r w:rsidR="00BD4E71" w:rsidRPr="00EE69CF">
        <w:rPr>
          <w:rFonts w:ascii="微软雅黑" w:eastAsia="宋体" w:hAnsi="微软雅黑" w:cs="宋体"/>
          <w:color w:val="333333"/>
          <w:kern w:val="0"/>
          <w:sz w:val="24"/>
          <w:szCs w:val="24"/>
        </w:rPr>
        <w:t>，则乙方顺延到下一</w:t>
      </w:r>
      <w:r w:rsidR="00BD4E71">
        <w:rPr>
          <w:rFonts w:ascii="微软雅黑" w:eastAsia="宋体" w:hAnsi="微软雅黑" w:cs="宋体" w:hint="eastAsia"/>
          <w:color w:val="333333"/>
          <w:kern w:val="0"/>
          <w:sz w:val="24"/>
          <w:szCs w:val="24"/>
        </w:rPr>
        <w:t>工作日</w:t>
      </w:r>
      <w:r w:rsidR="00BD4E71" w:rsidRPr="00EE69CF">
        <w:rPr>
          <w:rFonts w:ascii="微软雅黑" w:eastAsia="宋体" w:hAnsi="微软雅黑" w:cs="宋体"/>
          <w:color w:val="333333"/>
          <w:kern w:val="0"/>
          <w:sz w:val="24"/>
          <w:szCs w:val="24"/>
        </w:rPr>
        <w:t>进行扣款</w:t>
      </w:r>
      <w:r w:rsidR="00BD4E71">
        <w:rPr>
          <w:rFonts w:ascii="微软雅黑" w:eastAsia="宋体" w:hAnsi="微软雅黑" w:cs="宋体" w:hint="eastAsia"/>
          <w:color w:val="333333"/>
          <w:kern w:val="0"/>
          <w:sz w:val="24"/>
          <w:szCs w:val="24"/>
        </w:rPr>
        <w:t>。如遇特殊情形（如境外节假日、非港股通交易日等），</w:t>
      </w:r>
      <w:r w:rsidR="00BD4E71" w:rsidRPr="00BD4E71">
        <w:rPr>
          <w:rFonts w:ascii="微软雅黑" w:eastAsia="宋体" w:hAnsi="微软雅黑" w:cs="宋体" w:hint="eastAsia"/>
          <w:color w:val="333333"/>
          <w:kern w:val="0"/>
          <w:sz w:val="24"/>
          <w:szCs w:val="24"/>
        </w:rPr>
        <w:t>则该期业务不作顺延</w:t>
      </w:r>
      <w:r w:rsidR="00BD4E71">
        <w:rPr>
          <w:rFonts w:ascii="微软雅黑" w:eastAsia="宋体" w:hAnsi="微软雅黑" w:cs="宋体" w:hint="eastAsia"/>
          <w:color w:val="333333"/>
          <w:kern w:val="0"/>
          <w:sz w:val="24"/>
          <w:szCs w:val="24"/>
        </w:rPr>
        <w:t>，具体以届时的相关公告内容为准</w:t>
      </w:r>
      <w:r w:rsidR="00BD4E71" w:rsidRPr="00EE69CF">
        <w:rPr>
          <w:rFonts w:ascii="微软雅黑" w:eastAsia="宋体" w:hAnsi="微软雅黑" w:cs="宋体"/>
          <w:color w:val="333333"/>
          <w:kern w:val="0"/>
          <w:sz w:val="24"/>
          <w:szCs w:val="24"/>
        </w:rPr>
        <w:t>。</w:t>
      </w:r>
    </w:p>
    <w:p w14:paraId="118F3DC3" w14:textId="77777777" w:rsidR="00AF0566" w:rsidRPr="00AF0566" w:rsidRDefault="00995ECC" w:rsidP="00AF0566">
      <w:pPr>
        <w:pStyle w:val="a3"/>
        <w:widowControl/>
        <w:numPr>
          <w:ilvl w:val="0"/>
          <w:numId w:val="4"/>
        </w:numPr>
        <w:shd w:val="clear" w:color="auto" w:fill="FFFFFF"/>
        <w:spacing w:line="360" w:lineRule="auto"/>
        <w:ind w:firstLineChars="0"/>
        <w:jc w:val="left"/>
        <w:rPr>
          <w:rFonts w:ascii="Arial" w:eastAsia="宋体" w:hAnsi="Arial" w:cs="Arial"/>
          <w:color w:val="333333"/>
          <w:kern w:val="0"/>
          <w:sz w:val="24"/>
          <w:szCs w:val="24"/>
        </w:rPr>
      </w:pPr>
      <w:r w:rsidRPr="00AF0566">
        <w:rPr>
          <w:rFonts w:ascii="微软雅黑" w:eastAsia="宋体" w:hAnsi="微软雅黑" w:cs="宋体"/>
          <w:color w:val="333333"/>
          <w:kern w:val="0"/>
          <w:sz w:val="24"/>
          <w:szCs w:val="24"/>
        </w:rPr>
        <w:t>扣款条件</w:t>
      </w:r>
    </w:p>
    <w:p w14:paraId="3F412EB7" w14:textId="2D5CA064"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AF0566">
        <w:rPr>
          <w:rFonts w:ascii="微软雅黑" w:eastAsia="宋体" w:hAnsi="微软雅黑" w:cs="宋体"/>
          <w:color w:val="333333"/>
          <w:kern w:val="0"/>
          <w:sz w:val="24"/>
          <w:szCs w:val="24"/>
        </w:rPr>
        <w:t> </w:t>
      </w:r>
      <w:r w:rsidRPr="00AF0566">
        <w:rPr>
          <w:rFonts w:ascii="微软雅黑" w:eastAsia="宋体" w:hAnsi="微软雅黑" w:cs="宋体"/>
          <w:color w:val="333333"/>
          <w:kern w:val="0"/>
          <w:sz w:val="24"/>
          <w:szCs w:val="24"/>
        </w:rPr>
        <w:t>甲方在开立定期定额申购计划后，以网上交易的绑定的银行卡</w:t>
      </w:r>
      <w:r w:rsidR="00F037F7">
        <w:rPr>
          <w:rFonts w:ascii="微软雅黑" w:eastAsia="宋体" w:hAnsi="微软雅黑" w:cs="宋体" w:hint="eastAsia"/>
          <w:color w:val="333333"/>
          <w:kern w:val="0"/>
          <w:sz w:val="24"/>
          <w:szCs w:val="24"/>
        </w:rPr>
        <w:t>或资金账户</w:t>
      </w:r>
      <w:r w:rsidRPr="00AF0566">
        <w:rPr>
          <w:rFonts w:ascii="微软雅黑" w:eastAsia="宋体" w:hAnsi="微软雅黑" w:cs="宋体"/>
          <w:color w:val="333333"/>
          <w:kern w:val="0"/>
          <w:sz w:val="24"/>
          <w:szCs w:val="24"/>
        </w:rPr>
        <w:t>为指定扣款</w:t>
      </w:r>
      <w:r w:rsidR="00F037F7">
        <w:rPr>
          <w:rFonts w:ascii="微软雅黑" w:eastAsia="宋体" w:hAnsi="微软雅黑" w:cs="宋体" w:hint="eastAsia"/>
          <w:color w:val="333333"/>
          <w:kern w:val="0"/>
          <w:sz w:val="24"/>
          <w:szCs w:val="24"/>
        </w:rPr>
        <w:t>渠道</w:t>
      </w:r>
      <w:r w:rsidRPr="00AF0566">
        <w:rPr>
          <w:rFonts w:ascii="微软雅黑" w:eastAsia="宋体" w:hAnsi="微软雅黑" w:cs="宋体"/>
          <w:color w:val="333333"/>
          <w:kern w:val="0"/>
          <w:sz w:val="24"/>
          <w:szCs w:val="24"/>
        </w:rPr>
        <w:t>，</w:t>
      </w:r>
      <w:r w:rsidR="00472A05">
        <w:rPr>
          <w:rFonts w:ascii="微软雅黑" w:eastAsia="宋体" w:hAnsi="微软雅黑" w:cs="宋体"/>
          <w:color w:val="333333"/>
          <w:kern w:val="0"/>
          <w:sz w:val="24"/>
          <w:szCs w:val="24"/>
        </w:rPr>
        <w:t>华安</w:t>
      </w:r>
      <w:r w:rsidRPr="00AF0566">
        <w:rPr>
          <w:rFonts w:ascii="微软雅黑" w:eastAsia="宋体" w:hAnsi="微软雅黑" w:cs="宋体"/>
          <w:color w:val="333333"/>
          <w:kern w:val="0"/>
          <w:sz w:val="24"/>
          <w:szCs w:val="24"/>
        </w:rPr>
        <w:t>基金将按照甲方开立定期定额申购计划时所约定的固定扣款日和扣款金额自动发起交易申请并代为扣款。如甲方指定的基金在实际扣款日暂停定期定额申购，则系统不进行自动扣款，且不进行顺延。</w:t>
      </w:r>
    </w:p>
    <w:p w14:paraId="42AA0A42" w14:textId="77777777"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 </w:t>
      </w:r>
      <w:r w:rsidRPr="00995ECC">
        <w:rPr>
          <w:rFonts w:ascii="微软雅黑" w:eastAsia="宋体" w:hAnsi="微软雅黑" w:cs="宋体"/>
          <w:color w:val="333333"/>
          <w:kern w:val="0"/>
          <w:sz w:val="24"/>
          <w:szCs w:val="24"/>
        </w:rPr>
        <w:t>甲方可以同时开立多个定期定额申购计划。同一扣款日多个定期定额申购计划的扣款顺序由系统按随机原则处理。</w:t>
      </w:r>
    </w:p>
    <w:p w14:paraId="10584F69" w14:textId="5581E24F"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 </w:t>
      </w:r>
      <w:r w:rsidRPr="00995ECC">
        <w:rPr>
          <w:rFonts w:ascii="微软雅黑" w:eastAsia="宋体" w:hAnsi="微软雅黑" w:cs="宋体"/>
          <w:color w:val="333333"/>
          <w:kern w:val="0"/>
          <w:sz w:val="24"/>
          <w:szCs w:val="24"/>
        </w:rPr>
        <w:t>甲方需至少在约定扣款日前一日在</w:t>
      </w:r>
      <w:r w:rsidR="00F037F7">
        <w:rPr>
          <w:rFonts w:ascii="微软雅黑" w:eastAsia="宋体" w:hAnsi="微软雅黑" w:cs="宋体" w:hint="eastAsia"/>
          <w:color w:val="333333"/>
          <w:kern w:val="0"/>
          <w:sz w:val="24"/>
          <w:szCs w:val="24"/>
        </w:rPr>
        <w:t>指定扣款渠道</w:t>
      </w:r>
      <w:r w:rsidRPr="00995ECC">
        <w:rPr>
          <w:rFonts w:ascii="微软雅黑" w:eastAsia="宋体" w:hAnsi="微软雅黑" w:cs="宋体"/>
          <w:color w:val="333333"/>
          <w:kern w:val="0"/>
          <w:sz w:val="24"/>
          <w:szCs w:val="24"/>
        </w:rPr>
        <w:t>内备足资金，如实际扣款日账户资金不足，或因网络故障、系统故障等原因而导致扣款不成功，则该次定期定额申购失败，不予顺延。</w:t>
      </w:r>
    </w:p>
    <w:p w14:paraId="26EB22EC" w14:textId="77777777" w:rsidR="00995ECC" w:rsidRPr="00AF0566" w:rsidRDefault="00995ECC" w:rsidP="00AF0566">
      <w:pPr>
        <w:pStyle w:val="a3"/>
        <w:widowControl/>
        <w:numPr>
          <w:ilvl w:val="0"/>
          <w:numId w:val="4"/>
        </w:numPr>
        <w:shd w:val="clear" w:color="auto" w:fill="FFFFFF"/>
        <w:spacing w:line="360" w:lineRule="auto"/>
        <w:ind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lastRenderedPageBreak/>
        <w:t>定期定额申购业务的终止</w:t>
      </w:r>
    </w:p>
    <w:p w14:paraId="25A77EEB" w14:textId="72D3E390"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 </w:t>
      </w:r>
      <w:r w:rsidRPr="00995ECC">
        <w:rPr>
          <w:rFonts w:ascii="微软雅黑" w:eastAsia="宋体" w:hAnsi="微软雅黑" w:cs="宋体"/>
          <w:color w:val="333333"/>
          <w:kern w:val="0"/>
          <w:sz w:val="24"/>
          <w:szCs w:val="24"/>
        </w:rPr>
        <w:t>甲方可以在</w:t>
      </w:r>
      <w:r w:rsidR="00472A05">
        <w:rPr>
          <w:rFonts w:ascii="微软雅黑" w:eastAsia="宋体" w:hAnsi="微软雅黑" w:cs="宋体"/>
          <w:color w:val="333333"/>
          <w:kern w:val="0"/>
          <w:sz w:val="24"/>
          <w:szCs w:val="24"/>
        </w:rPr>
        <w:t>华安</w:t>
      </w:r>
      <w:r w:rsidRPr="00995ECC">
        <w:rPr>
          <w:rFonts w:ascii="微软雅黑" w:eastAsia="宋体" w:hAnsi="微软雅黑" w:cs="宋体"/>
          <w:color w:val="333333"/>
          <w:kern w:val="0"/>
          <w:sz w:val="24"/>
          <w:szCs w:val="24"/>
        </w:rPr>
        <w:t>基金网上交易系统主动终止网上交易定期定额申购业务，网上交易定期定额申购业务终止后立即生效。如果当前</w:t>
      </w:r>
      <w:r w:rsidR="00F037F7">
        <w:rPr>
          <w:rFonts w:ascii="微软雅黑" w:eastAsia="宋体" w:hAnsi="微软雅黑" w:cs="宋体" w:hint="eastAsia"/>
          <w:color w:val="333333"/>
          <w:kern w:val="0"/>
          <w:sz w:val="24"/>
          <w:szCs w:val="24"/>
        </w:rPr>
        <w:t>交易</w:t>
      </w:r>
      <w:r w:rsidRPr="00995ECC">
        <w:rPr>
          <w:rFonts w:ascii="微软雅黑" w:eastAsia="宋体" w:hAnsi="微软雅黑" w:cs="宋体"/>
          <w:color w:val="333333"/>
          <w:kern w:val="0"/>
          <w:sz w:val="24"/>
          <w:szCs w:val="24"/>
        </w:rPr>
        <w:t>日有网上交易定期定额申购计划，则当天不能终止该笔定期定额申购计划。</w:t>
      </w:r>
    </w:p>
    <w:p w14:paraId="25BCC647" w14:textId="77777777"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甲方办理的交易账户撤销、基金账户销户等业务申请一经确认，甲方设置的所有的网上交易定期定额申购计划也将自动终止。</w:t>
      </w:r>
    </w:p>
    <w:p w14:paraId="271CE8FC" w14:textId="77777777" w:rsidR="00995ECC" w:rsidRPr="00AF0566" w:rsidRDefault="00AF0566" w:rsidP="00AF0566">
      <w:pPr>
        <w:pStyle w:val="a3"/>
        <w:widowControl/>
        <w:numPr>
          <w:ilvl w:val="0"/>
          <w:numId w:val="4"/>
        </w:numPr>
        <w:shd w:val="clear" w:color="auto" w:fill="FFFFFF"/>
        <w:spacing w:line="360" w:lineRule="auto"/>
        <w:ind w:firstLineChars="0"/>
        <w:jc w:val="left"/>
        <w:rPr>
          <w:rFonts w:ascii="微软雅黑" w:eastAsia="宋体" w:hAnsi="微软雅黑" w:cs="宋体"/>
          <w:color w:val="333333"/>
          <w:kern w:val="0"/>
          <w:sz w:val="24"/>
          <w:szCs w:val="24"/>
        </w:rPr>
      </w:pPr>
      <w:r>
        <w:rPr>
          <w:rFonts w:ascii="微软雅黑" w:eastAsia="宋体" w:hAnsi="微软雅黑" w:cs="宋体"/>
          <w:color w:val="333333"/>
          <w:kern w:val="0"/>
          <w:sz w:val="24"/>
          <w:szCs w:val="24"/>
        </w:rPr>
        <w:t> </w:t>
      </w:r>
      <w:r w:rsidR="00995ECC" w:rsidRPr="00995ECC">
        <w:rPr>
          <w:rFonts w:ascii="微软雅黑" w:eastAsia="宋体" w:hAnsi="微软雅黑" w:cs="宋体"/>
          <w:color w:val="333333"/>
          <w:kern w:val="0"/>
          <w:sz w:val="24"/>
          <w:szCs w:val="24"/>
        </w:rPr>
        <w:t>定期定额申购业务的查询</w:t>
      </w:r>
    </w:p>
    <w:p w14:paraId="1B22D1D5" w14:textId="77777777"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 </w:t>
      </w:r>
      <w:r w:rsidRPr="00995ECC">
        <w:rPr>
          <w:rFonts w:ascii="微软雅黑" w:eastAsia="宋体" w:hAnsi="微软雅黑" w:cs="宋体"/>
          <w:color w:val="333333"/>
          <w:kern w:val="0"/>
          <w:sz w:val="24"/>
          <w:szCs w:val="24"/>
        </w:rPr>
        <w:t>甲方开通</w:t>
      </w:r>
      <w:r w:rsidR="00472A05">
        <w:rPr>
          <w:rFonts w:ascii="微软雅黑" w:eastAsia="宋体" w:hAnsi="微软雅黑" w:cs="宋体"/>
          <w:color w:val="333333"/>
          <w:kern w:val="0"/>
          <w:sz w:val="24"/>
          <w:szCs w:val="24"/>
        </w:rPr>
        <w:t>华安</w:t>
      </w:r>
      <w:r w:rsidRPr="00995ECC">
        <w:rPr>
          <w:rFonts w:ascii="微软雅黑" w:eastAsia="宋体" w:hAnsi="微软雅黑" w:cs="宋体"/>
          <w:color w:val="333333"/>
          <w:kern w:val="0"/>
          <w:sz w:val="24"/>
          <w:szCs w:val="24"/>
        </w:rPr>
        <w:t>基金网上交易定期定额申购业务后，可通过</w:t>
      </w:r>
      <w:r w:rsidR="00472A05">
        <w:rPr>
          <w:rFonts w:ascii="微软雅黑" w:eastAsia="宋体" w:hAnsi="微软雅黑" w:cs="宋体"/>
          <w:color w:val="333333"/>
          <w:kern w:val="0"/>
          <w:sz w:val="24"/>
          <w:szCs w:val="24"/>
        </w:rPr>
        <w:t>华安</w:t>
      </w:r>
      <w:r w:rsidRPr="00995ECC">
        <w:rPr>
          <w:rFonts w:ascii="微软雅黑" w:eastAsia="宋体" w:hAnsi="微软雅黑" w:cs="宋体"/>
          <w:color w:val="333333"/>
          <w:kern w:val="0"/>
          <w:sz w:val="24"/>
          <w:szCs w:val="24"/>
        </w:rPr>
        <w:t>基金网上交易系统查询定期定额申购业务的扣款日期、扣款金额、交易申请及确认情况等信息。</w:t>
      </w:r>
    </w:p>
    <w:p w14:paraId="21D89A65" w14:textId="77777777" w:rsidR="00AF0566" w:rsidRPr="00AF0566" w:rsidRDefault="00995ECC" w:rsidP="00AF0566">
      <w:pPr>
        <w:pStyle w:val="a3"/>
        <w:widowControl/>
        <w:numPr>
          <w:ilvl w:val="0"/>
          <w:numId w:val="4"/>
        </w:numPr>
        <w:shd w:val="clear" w:color="auto" w:fill="FFFFFF"/>
        <w:spacing w:line="360" w:lineRule="auto"/>
        <w:ind w:firstLineChars="0"/>
        <w:jc w:val="left"/>
        <w:rPr>
          <w:rFonts w:ascii="Arial" w:eastAsia="宋体" w:hAnsi="Arial" w:cs="Arial"/>
          <w:color w:val="333333"/>
          <w:kern w:val="0"/>
          <w:sz w:val="24"/>
          <w:szCs w:val="24"/>
        </w:rPr>
      </w:pPr>
      <w:r w:rsidRPr="00AF0566">
        <w:rPr>
          <w:rFonts w:ascii="微软雅黑" w:eastAsia="宋体" w:hAnsi="微软雅黑" w:cs="宋体"/>
          <w:color w:val="333333"/>
          <w:kern w:val="0"/>
          <w:sz w:val="24"/>
          <w:szCs w:val="24"/>
        </w:rPr>
        <w:t>解除代扣协议</w:t>
      </w:r>
    </w:p>
    <w:p w14:paraId="0DA7C925" w14:textId="77777777" w:rsidR="00995ECC" w:rsidRPr="00AF0566" w:rsidRDefault="00995ECC"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AF0566">
        <w:rPr>
          <w:rFonts w:ascii="微软雅黑" w:eastAsia="宋体" w:hAnsi="微软雅黑" w:cs="宋体"/>
          <w:color w:val="333333"/>
          <w:kern w:val="0"/>
          <w:sz w:val="24"/>
          <w:szCs w:val="24"/>
        </w:rPr>
        <w:t> </w:t>
      </w:r>
      <w:r w:rsidRPr="00AF0566">
        <w:rPr>
          <w:rFonts w:ascii="微软雅黑" w:eastAsia="宋体" w:hAnsi="微软雅黑" w:cs="宋体"/>
          <w:color w:val="333333"/>
          <w:kern w:val="0"/>
          <w:sz w:val="24"/>
          <w:szCs w:val="24"/>
        </w:rPr>
        <w:t>甲方可以解除与</w:t>
      </w:r>
      <w:r w:rsidR="00472A05">
        <w:rPr>
          <w:rFonts w:ascii="微软雅黑" w:eastAsia="宋体" w:hAnsi="微软雅黑" w:cs="宋体"/>
          <w:color w:val="333333"/>
          <w:kern w:val="0"/>
          <w:sz w:val="24"/>
          <w:szCs w:val="24"/>
        </w:rPr>
        <w:t>华安</w:t>
      </w:r>
      <w:r w:rsidRPr="00AF0566">
        <w:rPr>
          <w:rFonts w:ascii="微软雅黑" w:eastAsia="宋体" w:hAnsi="微软雅黑" w:cs="宋体"/>
          <w:color w:val="333333"/>
          <w:kern w:val="0"/>
          <w:sz w:val="24"/>
          <w:szCs w:val="24"/>
        </w:rPr>
        <w:t>基金签订的委托收付款服务协议，但解除协议之前必须确认没有有效的定期定额申购计划，若</w:t>
      </w:r>
      <w:r w:rsidR="00472A05">
        <w:rPr>
          <w:rFonts w:ascii="微软雅黑" w:eastAsia="宋体" w:hAnsi="微软雅黑" w:cs="宋体"/>
          <w:color w:val="333333"/>
          <w:kern w:val="0"/>
          <w:sz w:val="24"/>
          <w:szCs w:val="24"/>
        </w:rPr>
        <w:t>华安</w:t>
      </w:r>
      <w:r w:rsidRPr="00AF0566">
        <w:rPr>
          <w:rFonts w:ascii="微软雅黑" w:eastAsia="宋体" w:hAnsi="微软雅黑" w:cs="宋体"/>
          <w:color w:val="333333"/>
          <w:kern w:val="0"/>
          <w:sz w:val="24"/>
          <w:szCs w:val="24"/>
        </w:rPr>
        <w:t>基金网上交易系统中甲方的定期定额申购计划仍有效，则甲方须将所有的定期定额申购计划终止后方可解除委托收付款服务协议。</w:t>
      </w:r>
    </w:p>
    <w:p w14:paraId="5926CF39" w14:textId="77777777" w:rsidR="00F53BFE" w:rsidRPr="00AF0566" w:rsidRDefault="00F53BFE" w:rsidP="00AF0566">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p>
    <w:p w14:paraId="40E8B658" w14:textId="77777777" w:rsidR="00AF0566" w:rsidRPr="00AF0566" w:rsidRDefault="00995ECC" w:rsidP="00AF0566">
      <w:pPr>
        <w:widowControl/>
        <w:shd w:val="clear" w:color="auto" w:fill="FFFFFF"/>
        <w:spacing w:line="360" w:lineRule="auto"/>
        <w:jc w:val="left"/>
        <w:rPr>
          <w:rFonts w:ascii="Arial" w:eastAsia="宋体" w:hAnsi="Arial" w:cs="Arial"/>
          <w:b/>
          <w:color w:val="333333"/>
          <w:kern w:val="0"/>
          <w:sz w:val="24"/>
          <w:szCs w:val="24"/>
        </w:rPr>
      </w:pPr>
      <w:r w:rsidRPr="00995ECC">
        <w:rPr>
          <w:rFonts w:ascii="Arial" w:eastAsia="宋体" w:hAnsi="Arial" w:cs="Arial"/>
          <w:b/>
          <w:color w:val="333333"/>
          <w:kern w:val="0"/>
          <w:sz w:val="24"/>
          <w:szCs w:val="24"/>
        </w:rPr>
        <w:t> </w:t>
      </w:r>
      <w:r w:rsidR="00AF0566">
        <w:rPr>
          <w:rFonts w:ascii="Arial" w:eastAsia="宋体" w:hAnsi="Arial" w:cs="Arial"/>
          <w:b/>
          <w:color w:val="333333"/>
          <w:kern w:val="0"/>
          <w:sz w:val="24"/>
          <w:szCs w:val="24"/>
        </w:rPr>
        <w:t xml:space="preserve">    </w:t>
      </w:r>
      <w:r w:rsidRPr="00995ECC">
        <w:rPr>
          <w:rFonts w:ascii="Arial" w:eastAsia="宋体" w:hAnsi="Arial" w:cs="Arial"/>
          <w:b/>
          <w:color w:val="333333"/>
          <w:kern w:val="0"/>
          <w:sz w:val="24"/>
          <w:szCs w:val="24"/>
        </w:rPr>
        <w:t>第三条</w:t>
      </w:r>
      <w:r w:rsidR="00AF0566">
        <w:rPr>
          <w:rFonts w:ascii="Arial" w:eastAsia="宋体" w:hAnsi="Arial" w:cs="Arial" w:hint="eastAsia"/>
          <w:b/>
          <w:color w:val="333333"/>
          <w:kern w:val="0"/>
          <w:sz w:val="24"/>
          <w:szCs w:val="24"/>
        </w:rPr>
        <w:t xml:space="preserve"> </w:t>
      </w:r>
      <w:r w:rsidRPr="00995ECC">
        <w:rPr>
          <w:rFonts w:ascii="Arial" w:eastAsia="宋体" w:hAnsi="Arial" w:cs="Arial"/>
          <w:b/>
          <w:color w:val="333333"/>
          <w:kern w:val="0"/>
          <w:sz w:val="24"/>
          <w:szCs w:val="24"/>
        </w:rPr>
        <w:t>甲方的权利及义务</w:t>
      </w:r>
    </w:p>
    <w:p w14:paraId="3AA81261" w14:textId="77777777" w:rsidR="00995ECC" w:rsidRPr="00AF0566" w:rsidRDefault="00995ECC" w:rsidP="00AF0566">
      <w:pPr>
        <w:pStyle w:val="a3"/>
        <w:widowControl/>
        <w:numPr>
          <w:ilvl w:val="0"/>
          <w:numId w:val="5"/>
        </w:numPr>
        <w:shd w:val="clear" w:color="auto" w:fill="FFFFFF"/>
        <w:spacing w:line="360" w:lineRule="auto"/>
        <w:ind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甲方为乙方网上交易的合法用户且符合第一条有关投资者范围规定，可通过乙方网上交易系统办理定期定额申购业务。</w:t>
      </w:r>
    </w:p>
    <w:p w14:paraId="5CD5E6DB" w14:textId="27F4A14E" w:rsidR="00995ECC" w:rsidRPr="00AF0566" w:rsidRDefault="00995ECC" w:rsidP="00AF0566">
      <w:pPr>
        <w:pStyle w:val="a3"/>
        <w:widowControl/>
        <w:numPr>
          <w:ilvl w:val="0"/>
          <w:numId w:val="5"/>
        </w:numPr>
        <w:shd w:val="clear" w:color="auto" w:fill="FFFFFF"/>
        <w:spacing w:line="360" w:lineRule="auto"/>
        <w:ind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甲方应保证约定扣款日前一日指定账户既有足够的金额且扣款日当日指定账户全天处于正常状态。</w:t>
      </w:r>
      <w:r w:rsidR="00F037F7">
        <w:rPr>
          <w:rFonts w:ascii="微软雅黑" w:eastAsia="宋体" w:hAnsi="微软雅黑" w:cs="宋体" w:hint="eastAsia"/>
          <w:color w:val="333333"/>
          <w:kern w:val="0"/>
          <w:sz w:val="24"/>
          <w:szCs w:val="24"/>
        </w:rPr>
        <w:t>因甲方指定账户余额不足、账户状态不正常等甲方自身原因或网络故障、系统故障等不可抗力因素导致扣款不成功</w:t>
      </w:r>
      <w:r w:rsidRPr="00995ECC">
        <w:rPr>
          <w:rFonts w:ascii="微软雅黑" w:eastAsia="宋体" w:hAnsi="微软雅黑" w:cs="宋体"/>
          <w:color w:val="333333"/>
          <w:kern w:val="0"/>
          <w:sz w:val="24"/>
          <w:szCs w:val="24"/>
        </w:rPr>
        <w:t>造成的损失由甲方自行承担。</w:t>
      </w:r>
    </w:p>
    <w:p w14:paraId="150654AD" w14:textId="79AEDACA" w:rsidR="00995ECC" w:rsidRPr="00AF0566" w:rsidRDefault="00995ECC" w:rsidP="00AF0566">
      <w:pPr>
        <w:pStyle w:val="a3"/>
        <w:widowControl/>
        <w:numPr>
          <w:ilvl w:val="0"/>
          <w:numId w:val="5"/>
        </w:numPr>
        <w:shd w:val="clear" w:color="auto" w:fill="FFFFFF"/>
        <w:spacing w:line="360" w:lineRule="auto"/>
        <w:ind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甲方在开通此业务之前应仔细阅读拟定期定额申购基金的基金合同、招募说明书或招募说明书（更新）</w:t>
      </w:r>
      <w:r w:rsidR="007E0694">
        <w:rPr>
          <w:rFonts w:ascii="微软雅黑" w:eastAsia="宋体" w:hAnsi="微软雅黑" w:cs="宋体" w:hint="eastAsia"/>
          <w:color w:val="333333"/>
          <w:kern w:val="0"/>
          <w:sz w:val="24"/>
          <w:szCs w:val="24"/>
        </w:rPr>
        <w:t>、产品资料概要</w:t>
      </w:r>
      <w:r w:rsidRPr="00995ECC">
        <w:rPr>
          <w:rFonts w:ascii="微软雅黑" w:eastAsia="宋体" w:hAnsi="微软雅黑" w:cs="宋体"/>
          <w:color w:val="333333"/>
          <w:kern w:val="0"/>
          <w:sz w:val="24"/>
          <w:szCs w:val="24"/>
        </w:rPr>
        <w:t>等相关法律文件。甲方应遵循本协议第二条所有定期定额申购业务规则。</w:t>
      </w:r>
      <w:r w:rsidRPr="00AF0566">
        <w:rPr>
          <w:rFonts w:ascii="微软雅黑" w:eastAsia="宋体" w:hAnsi="微软雅黑" w:cs="宋体"/>
          <w:color w:val="333333"/>
          <w:kern w:val="0"/>
          <w:sz w:val="24"/>
          <w:szCs w:val="24"/>
        </w:rPr>
        <w:t> </w:t>
      </w:r>
    </w:p>
    <w:p w14:paraId="2EEB20A7" w14:textId="77777777" w:rsidR="00995ECC" w:rsidRPr="00AF0566" w:rsidRDefault="00995ECC" w:rsidP="00AF0566">
      <w:pPr>
        <w:pStyle w:val="a3"/>
        <w:widowControl/>
        <w:numPr>
          <w:ilvl w:val="0"/>
          <w:numId w:val="5"/>
        </w:numPr>
        <w:shd w:val="clear" w:color="auto" w:fill="FFFFFF"/>
        <w:spacing w:line="360" w:lineRule="auto"/>
        <w:ind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甲方应按照乙方网上交易系统的相关规定和指引进行正确操作，甲方需对其恶意操作导致的风险承担法律责任。</w:t>
      </w:r>
      <w:r w:rsidRPr="00AF0566">
        <w:rPr>
          <w:rFonts w:ascii="微软雅黑" w:eastAsia="宋体" w:hAnsi="微软雅黑" w:cs="宋体"/>
          <w:color w:val="333333"/>
          <w:kern w:val="0"/>
          <w:sz w:val="24"/>
          <w:szCs w:val="24"/>
        </w:rPr>
        <w:t> </w:t>
      </w:r>
    </w:p>
    <w:p w14:paraId="0D507C2A" w14:textId="77777777" w:rsidR="00AF0566" w:rsidRPr="00F53BFE" w:rsidRDefault="00995ECC" w:rsidP="00AF0566">
      <w:pPr>
        <w:pStyle w:val="a3"/>
        <w:widowControl/>
        <w:numPr>
          <w:ilvl w:val="0"/>
          <w:numId w:val="5"/>
        </w:numPr>
        <w:shd w:val="clear" w:color="auto" w:fill="FFFFFF"/>
        <w:spacing w:line="360" w:lineRule="auto"/>
        <w:ind w:firstLineChars="0"/>
        <w:jc w:val="left"/>
        <w:rPr>
          <w:rFonts w:ascii="Arial" w:eastAsia="宋体" w:hAnsi="Arial" w:cs="Arial"/>
          <w:color w:val="333333"/>
          <w:kern w:val="0"/>
          <w:sz w:val="24"/>
          <w:szCs w:val="24"/>
        </w:rPr>
      </w:pPr>
      <w:r w:rsidRPr="00995ECC">
        <w:rPr>
          <w:rFonts w:ascii="微软雅黑" w:eastAsia="宋体" w:hAnsi="微软雅黑" w:cs="宋体"/>
          <w:color w:val="333333"/>
          <w:kern w:val="0"/>
          <w:sz w:val="24"/>
          <w:szCs w:val="24"/>
        </w:rPr>
        <w:lastRenderedPageBreak/>
        <w:t>甲方不得利用乙方网上交易系统从事洗钱等违法、犯罪活动。</w:t>
      </w:r>
      <w:r w:rsidRPr="00995ECC">
        <w:rPr>
          <w:rFonts w:ascii="微软雅黑" w:eastAsia="宋体" w:hAnsi="微软雅黑" w:cs="宋体"/>
          <w:color w:val="333333"/>
          <w:kern w:val="0"/>
          <w:sz w:val="24"/>
          <w:szCs w:val="24"/>
        </w:rPr>
        <w:t> </w:t>
      </w:r>
    </w:p>
    <w:p w14:paraId="63B81466" w14:textId="77777777" w:rsidR="00F53BFE" w:rsidRDefault="00F53BFE" w:rsidP="00F53BFE">
      <w:pPr>
        <w:pStyle w:val="a3"/>
        <w:widowControl/>
        <w:shd w:val="clear" w:color="auto" w:fill="FFFFFF"/>
        <w:spacing w:line="360" w:lineRule="auto"/>
        <w:ind w:left="510" w:firstLineChars="0" w:firstLine="0"/>
        <w:jc w:val="left"/>
        <w:rPr>
          <w:rFonts w:ascii="Arial" w:eastAsia="宋体" w:hAnsi="Arial" w:cs="Arial"/>
          <w:color w:val="333333"/>
          <w:kern w:val="0"/>
          <w:sz w:val="24"/>
          <w:szCs w:val="24"/>
        </w:rPr>
      </w:pPr>
    </w:p>
    <w:p w14:paraId="27F36F4A" w14:textId="77777777" w:rsidR="00995ECC" w:rsidRPr="00AF0566" w:rsidRDefault="00995ECC" w:rsidP="00AF0566">
      <w:pPr>
        <w:pStyle w:val="a3"/>
        <w:widowControl/>
        <w:shd w:val="clear" w:color="auto" w:fill="FFFFFF"/>
        <w:spacing w:line="360" w:lineRule="auto"/>
        <w:ind w:left="510" w:firstLineChars="0" w:firstLine="0"/>
        <w:jc w:val="left"/>
        <w:rPr>
          <w:rFonts w:ascii="Arial" w:eastAsia="宋体" w:hAnsi="Arial" w:cs="Arial"/>
          <w:color w:val="333333"/>
          <w:kern w:val="0"/>
          <w:sz w:val="24"/>
          <w:szCs w:val="24"/>
        </w:rPr>
      </w:pPr>
      <w:r w:rsidRPr="00995ECC">
        <w:rPr>
          <w:rFonts w:ascii="Arial" w:eastAsia="宋体" w:hAnsi="Arial" w:cs="Arial"/>
          <w:b/>
          <w:color w:val="333333"/>
          <w:kern w:val="0"/>
          <w:sz w:val="24"/>
          <w:szCs w:val="24"/>
        </w:rPr>
        <w:t> </w:t>
      </w:r>
      <w:r w:rsidRPr="00995ECC">
        <w:rPr>
          <w:rFonts w:ascii="Arial" w:eastAsia="宋体" w:hAnsi="Arial" w:cs="Arial"/>
          <w:b/>
          <w:color w:val="333333"/>
          <w:kern w:val="0"/>
          <w:sz w:val="24"/>
          <w:szCs w:val="24"/>
        </w:rPr>
        <w:t>第四条</w:t>
      </w:r>
      <w:r w:rsidR="00AF0566">
        <w:rPr>
          <w:rFonts w:ascii="Arial" w:eastAsia="宋体" w:hAnsi="Arial" w:cs="Arial" w:hint="eastAsia"/>
          <w:b/>
          <w:color w:val="333333"/>
          <w:kern w:val="0"/>
          <w:sz w:val="24"/>
          <w:szCs w:val="24"/>
        </w:rPr>
        <w:t xml:space="preserve"> </w:t>
      </w:r>
      <w:r w:rsidRPr="00995ECC">
        <w:rPr>
          <w:rFonts w:ascii="Arial" w:eastAsia="宋体" w:hAnsi="Arial" w:cs="Arial"/>
          <w:b/>
          <w:color w:val="333333"/>
          <w:kern w:val="0"/>
          <w:sz w:val="24"/>
          <w:szCs w:val="24"/>
        </w:rPr>
        <w:t>乙方的权利与义务</w:t>
      </w:r>
    </w:p>
    <w:p w14:paraId="41012261" w14:textId="43649DBD" w:rsidR="00995ECC" w:rsidRPr="00EE69CF" w:rsidRDefault="00995ECC" w:rsidP="00BD4E71">
      <w:pPr>
        <w:pStyle w:val="a3"/>
        <w:widowControl/>
        <w:numPr>
          <w:ilvl w:val="0"/>
          <w:numId w:val="6"/>
        </w:numPr>
        <w:shd w:val="clear" w:color="auto" w:fill="FFFFFF"/>
        <w:spacing w:line="360" w:lineRule="auto"/>
        <w:ind w:firstLineChars="0"/>
        <w:jc w:val="left"/>
        <w:rPr>
          <w:rFonts w:ascii="微软雅黑" w:eastAsia="宋体" w:hAnsi="微软雅黑" w:cs="宋体"/>
          <w:color w:val="333333"/>
          <w:kern w:val="0"/>
          <w:sz w:val="24"/>
          <w:szCs w:val="24"/>
        </w:rPr>
      </w:pPr>
      <w:r w:rsidRPr="00EE69CF">
        <w:rPr>
          <w:rFonts w:ascii="微软雅黑" w:eastAsia="宋体" w:hAnsi="微软雅黑" w:cs="宋体"/>
          <w:color w:val="333333"/>
          <w:kern w:val="0"/>
          <w:sz w:val="24"/>
          <w:szCs w:val="24"/>
        </w:rPr>
        <w:t>乙方应严格遵照甲方定期定额申购计划约定的时间和金额，定期向约定</w:t>
      </w:r>
      <w:r w:rsidR="007E0694">
        <w:rPr>
          <w:rFonts w:ascii="微软雅黑" w:eastAsia="宋体" w:hAnsi="微软雅黑" w:cs="宋体" w:hint="eastAsia"/>
          <w:color w:val="333333"/>
          <w:kern w:val="0"/>
          <w:sz w:val="24"/>
          <w:szCs w:val="24"/>
        </w:rPr>
        <w:t>扣款渠道</w:t>
      </w:r>
      <w:r w:rsidRPr="00EE69CF">
        <w:rPr>
          <w:rFonts w:ascii="微软雅黑" w:eastAsia="宋体" w:hAnsi="微软雅黑" w:cs="宋体"/>
          <w:color w:val="333333"/>
          <w:kern w:val="0"/>
          <w:sz w:val="24"/>
          <w:szCs w:val="24"/>
        </w:rPr>
        <w:t>发出扣款指令。若甲方约定扣款日为</w:t>
      </w:r>
      <w:r w:rsidR="0041118F">
        <w:rPr>
          <w:rFonts w:ascii="微软雅黑" w:eastAsia="宋体" w:hAnsi="微软雅黑" w:cs="宋体" w:hint="eastAsia"/>
          <w:color w:val="333333"/>
          <w:kern w:val="0"/>
          <w:sz w:val="24"/>
          <w:szCs w:val="24"/>
        </w:rPr>
        <w:t>节假日</w:t>
      </w:r>
      <w:r w:rsidRPr="00EE69CF">
        <w:rPr>
          <w:rFonts w:ascii="微软雅黑" w:eastAsia="宋体" w:hAnsi="微软雅黑" w:cs="宋体"/>
          <w:color w:val="333333"/>
          <w:kern w:val="0"/>
          <w:sz w:val="24"/>
          <w:szCs w:val="24"/>
        </w:rPr>
        <w:t>，则乙方顺延到下一</w:t>
      </w:r>
      <w:r w:rsidR="0041118F">
        <w:rPr>
          <w:rFonts w:ascii="微软雅黑" w:eastAsia="宋体" w:hAnsi="微软雅黑" w:cs="宋体" w:hint="eastAsia"/>
          <w:color w:val="333333"/>
          <w:kern w:val="0"/>
          <w:sz w:val="24"/>
          <w:szCs w:val="24"/>
        </w:rPr>
        <w:t>工作日</w:t>
      </w:r>
      <w:r w:rsidRPr="00EE69CF">
        <w:rPr>
          <w:rFonts w:ascii="微软雅黑" w:eastAsia="宋体" w:hAnsi="微软雅黑" w:cs="宋体"/>
          <w:color w:val="333333"/>
          <w:kern w:val="0"/>
          <w:sz w:val="24"/>
          <w:szCs w:val="24"/>
        </w:rPr>
        <w:t>进行扣款</w:t>
      </w:r>
      <w:r w:rsidR="00BD4E71">
        <w:rPr>
          <w:rFonts w:ascii="微软雅黑" w:eastAsia="宋体" w:hAnsi="微软雅黑" w:cs="宋体" w:hint="eastAsia"/>
          <w:color w:val="333333"/>
          <w:kern w:val="0"/>
          <w:sz w:val="24"/>
          <w:szCs w:val="24"/>
        </w:rPr>
        <w:t>。</w:t>
      </w:r>
      <w:r w:rsidR="0041118F">
        <w:rPr>
          <w:rFonts w:ascii="微软雅黑" w:eastAsia="宋体" w:hAnsi="微软雅黑" w:cs="宋体" w:hint="eastAsia"/>
          <w:color w:val="333333"/>
          <w:kern w:val="0"/>
          <w:sz w:val="24"/>
          <w:szCs w:val="24"/>
        </w:rPr>
        <w:t>如遇特殊情形</w:t>
      </w:r>
      <w:r w:rsidR="00BD4E71">
        <w:rPr>
          <w:rFonts w:ascii="微软雅黑" w:eastAsia="宋体" w:hAnsi="微软雅黑" w:cs="宋体" w:hint="eastAsia"/>
          <w:color w:val="333333"/>
          <w:kern w:val="0"/>
          <w:sz w:val="24"/>
          <w:szCs w:val="24"/>
        </w:rPr>
        <w:t>（如境外节假日、非港股通交易日等）</w:t>
      </w:r>
      <w:r w:rsidR="0041118F">
        <w:rPr>
          <w:rFonts w:ascii="微软雅黑" w:eastAsia="宋体" w:hAnsi="微软雅黑" w:cs="宋体" w:hint="eastAsia"/>
          <w:color w:val="333333"/>
          <w:kern w:val="0"/>
          <w:sz w:val="24"/>
          <w:szCs w:val="24"/>
        </w:rPr>
        <w:t>，</w:t>
      </w:r>
      <w:r w:rsidR="00BD4E71" w:rsidRPr="00BD4E71">
        <w:rPr>
          <w:rFonts w:ascii="微软雅黑" w:eastAsia="宋体" w:hAnsi="微软雅黑" w:cs="宋体" w:hint="eastAsia"/>
          <w:color w:val="333333"/>
          <w:kern w:val="0"/>
          <w:sz w:val="24"/>
          <w:szCs w:val="24"/>
        </w:rPr>
        <w:t>则该期业务不作顺延</w:t>
      </w:r>
      <w:r w:rsidR="00BD4E71">
        <w:rPr>
          <w:rFonts w:ascii="微软雅黑" w:eastAsia="宋体" w:hAnsi="微软雅黑" w:cs="宋体" w:hint="eastAsia"/>
          <w:color w:val="333333"/>
          <w:kern w:val="0"/>
          <w:sz w:val="24"/>
          <w:szCs w:val="24"/>
        </w:rPr>
        <w:t>，具体</w:t>
      </w:r>
      <w:r w:rsidR="0041118F">
        <w:rPr>
          <w:rFonts w:ascii="微软雅黑" w:eastAsia="宋体" w:hAnsi="微软雅黑" w:cs="宋体" w:hint="eastAsia"/>
          <w:color w:val="333333"/>
          <w:kern w:val="0"/>
          <w:sz w:val="24"/>
          <w:szCs w:val="24"/>
        </w:rPr>
        <w:t>以届时的相关公告内容为准</w:t>
      </w:r>
      <w:r w:rsidRPr="00EE69CF">
        <w:rPr>
          <w:rFonts w:ascii="微软雅黑" w:eastAsia="宋体" w:hAnsi="微软雅黑" w:cs="宋体"/>
          <w:color w:val="333333"/>
          <w:kern w:val="0"/>
          <w:sz w:val="24"/>
          <w:szCs w:val="24"/>
        </w:rPr>
        <w:t>。</w:t>
      </w:r>
    </w:p>
    <w:p w14:paraId="6390BB6D" w14:textId="77777777" w:rsidR="00995ECC" w:rsidRPr="00AF0566" w:rsidRDefault="00995ECC" w:rsidP="00AF0566">
      <w:pPr>
        <w:pStyle w:val="a3"/>
        <w:widowControl/>
        <w:numPr>
          <w:ilvl w:val="0"/>
          <w:numId w:val="6"/>
        </w:numPr>
        <w:shd w:val="clear" w:color="auto" w:fill="FFFFFF"/>
        <w:spacing w:line="360" w:lineRule="auto"/>
        <w:ind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乙方应为甲方通过乙方网上交易系统办理定期定额申购业务提供业务规则，具体规则参见本协议第二条。</w:t>
      </w:r>
      <w:r w:rsidRPr="00AF0566">
        <w:rPr>
          <w:rFonts w:ascii="微软雅黑" w:eastAsia="宋体" w:hAnsi="微软雅黑" w:cs="宋体"/>
          <w:color w:val="333333"/>
          <w:kern w:val="0"/>
          <w:sz w:val="24"/>
          <w:szCs w:val="24"/>
        </w:rPr>
        <w:t> </w:t>
      </w:r>
    </w:p>
    <w:p w14:paraId="42733CC8" w14:textId="5C96601E" w:rsidR="00995ECC" w:rsidRDefault="00995ECC" w:rsidP="00AF0566">
      <w:pPr>
        <w:pStyle w:val="a3"/>
        <w:widowControl/>
        <w:numPr>
          <w:ilvl w:val="0"/>
          <w:numId w:val="6"/>
        </w:numPr>
        <w:shd w:val="clear" w:color="auto" w:fill="FFFFFF"/>
        <w:spacing w:line="360" w:lineRule="auto"/>
        <w:ind w:firstLineChars="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若由于甲方账户余额不足或账户状态异常等甲方自身原因导致扣款不成功，乙方不承担任何责任。</w:t>
      </w:r>
      <w:r w:rsidRPr="00AF0566">
        <w:rPr>
          <w:rFonts w:ascii="微软雅黑" w:eastAsia="宋体" w:hAnsi="微软雅黑" w:cs="宋体"/>
          <w:color w:val="333333"/>
          <w:kern w:val="0"/>
          <w:sz w:val="24"/>
          <w:szCs w:val="24"/>
        </w:rPr>
        <w:t> </w:t>
      </w:r>
    </w:p>
    <w:p w14:paraId="0FF25091" w14:textId="77777777" w:rsidR="007E0694" w:rsidRDefault="007E0694" w:rsidP="001D4750">
      <w:pPr>
        <w:pStyle w:val="a3"/>
        <w:widowControl/>
        <w:shd w:val="clear" w:color="auto" w:fill="FFFFFF"/>
        <w:spacing w:line="360" w:lineRule="auto"/>
        <w:ind w:left="510" w:firstLineChars="0" w:firstLine="0"/>
        <w:jc w:val="left"/>
        <w:rPr>
          <w:rFonts w:ascii="微软雅黑" w:eastAsia="宋体" w:hAnsi="微软雅黑" w:cs="宋体"/>
          <w:color w:val="333333"/>
          <w:kern w:val="0"/>
          <w:sz w:val="24"/>
          <w:szCs w:val="24"/>
        </w:rPr>
      </w:pPr>
    </w:p>
    <w:p w14:paraId="59EFABFB" w14:textId="77777777" w:rsidR="00F53BFE" w:rsidRPr="00AF0566" w:rsidRDefault="00F53BFE" w:rsidP="00F53BFE">
      <w:pPr>
        <w:pStyle w:val="a3"/>
        <w:widowControl/>
        <w:shd w:val="clear" w:color="auto" w:fill="FFFFFF"/>
        <w:spacing w:line="360" w:lineRule="auto"/>
        <w:ind w:left="510" w:firstLineChars="0" w:firstLine="0"/>
        <w:jc w:val="left"/>
        <w:rPr>
          <w:rFonts w:ascii="微软雅黑" w:eastAsia="宋体" w:hAnsi="微软雅黑" w:cs="宋体"/>
          <w:color w:val="333333"/>
          <w:kern w:val="0"/>
          <w:sz w:val="24"/>
          <w:szCs w:val="24"/>
        </w:rPr>
      </w:pPr>
    </w:p>
    <w:p w14:paraId="5AA5A887" w14:textId="77777777" w:rsidR="00995ECC" w:rsidRPr="00AF0028" w:rsidRDefault="00995ECC" w:rsidP="00AF0028">
      <w:pPr>
        <w:pStyle w:val="a3"/>
        <w:widowControl/>
        <w:shd w:val="clear" w:color="auto" w:fill="FFFFFF"/>
        <w:spacing w:line="360" w:lineRule="auto"/>
        <w:ind w:left="510" w:firstLineChars="0" w:firstLine="0"/>
        <w:jc w:val="left"/>
        <w:rPr>
          <w:rFonts w:ascii="Arial" w:eastAsia="宋体" w:hAnsi="Arial" w:cs="Arial"/>
          <w:b/>
          <w:color w:val="333333"/>
          <w:kern w:val="0"/>
          <w:sz w:val="24"/>
          <w:szCs w:val="24"/>
        </w:rPr>
      </w:pPr>
      <w:r w:rsidRPr="00995ECC">
        <w:rPr>
          <w:rFonts w:ascii="Arial" w:eastAsia="宋体" w:hAnsi="Arial" w:cs="Arial"/>
          <w:b/>
          <w:color w:val="333333"/>
          <w:kern w:val="0"/>
          <w:sz w:val="24"/>
          <w:szCs w:val="24"/>
        </w:rPr>
        <w:t>第五条</w:t>
      </w:r>
      <w:r w:rsidR="00AF0028">
        <w:rPr>
          <w:rFonts w:ascii="Arial" w:eastAsia="宋体" w:hAnsi="Arial" w:cs="Arial" w:hint="eastAsia"/>
          <w:b/>
          <w:color w:val="333333"/>
          <w:kern w:val="0"/>
          <w:sz w:val="24"/>
          <w:szCs w:val="24"/>
        </w:rPr>
        <w:t xml:space="preserve"> </w:t>
      </w:r>
      <w:r w:rsidRPr="00995ECC">
        <w:rPr>
          <w:rFonts w:ascii="Arial" w:eastAsia="宋体" w:hAnsi="Arial" w:cs="Arial"/>
          <w:b/>
          <w:color w:val="333333"/>
          <w:kern w:val="0"/>
          <w:sz w:val="24"/>
          <w:szCs w:val="24"/>
        </w:rPr>
        <w:t>不可抗力</w:t>
      </w:r>
    </w:p>
    <w:p w14:paraId="203F35E9" w14:textId="77777777" w:rsidR="00995ECC" w:rsidRDefault="00995ECC" w:rsidP="00AF0028">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 </w:t>
      </w:r>
      <w:r w:rsidRPr="00995ECC">
        <w:rPr>
          <w:rFonts w:ascii="微软雅黑" w:eastAsia="宋体" w:hAnsi="微软雅黑" w:cs="宋体"/>
          <w:color w:val="333333"/>
          <w:kern w:val="0"/>
          <w:sz w:val="24"/>
          <w:szCs w:val="24"/>
        </w:rPr>
        <w:t>因发生不可抗力事件导致定期定额申购业务无法进行的，本协议当事人可以免责，但应及时通知本协议其他当事人并积极采取措施予以解决。本协议中不可抗力包括但不限于战争、火灾、地震、水灾、罢工、网络故障、系统故障等不能合理预见、不可避免和不能克服的自然灾害、社会异常事件及技术风险等。</w:t>
      </w:r>
      <w:r w:rsidRPr="00AF0028">
        <w:rPr>
          <w:rFonts w:ascii="微软雅黑" w:eastAsia="宋体" w:hAnsi="微软雅黑" w:cs="宋体"/>
          <w:color w:val="333333"/>
          <w:kern w:val="0"/>
          <w:sz w:val="24"/>
          <w:szCs w:val="24"/>
        </w:rPr>
        <w:t> </w:t>
      </w:r>
    </w:p>
    <w:p w14:paraId="3403F094" w14:textId="77777777" w:rsidR="00F53BFE" w:rsidRPr="00AF0028" w:rsidRDefault="00F53BFE" w:rsidP="00AF0028">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p>
    <w:p w14:paraId="16313BCE" w14:textId="77777777" w:rsidR="00995ECC" w:rsidRPr="00AF0028" w:rsidRDefault="00995ECC" w:rsidP="00AF0028">
      <w:pPr>
        <w:widowControl/>
        <w:shd w:val="clear" w:color="auto" w:fill="FFFFFF"/>
        <w:spacing w:line="360" w:lineRule="auto"/>
        <w:ind w:firstLineChars="200" w:firstLine="482"/>
        <w:jc w:val="left"/>
        <w:rPr>
          <w:rFonts w:ascii="Arial" w:eastAsia="宋体" w:hAnsi="Arial" w:cs="Arial"/>
          <w:b/>
          <w:color w:val="333333"/>
          <w:kern w:val="0"/>
          <w:sz w:val="24"/>
          <w:szCs w:val="24"/>
        </w:rPr>
      </w:pPr>
      <w:r w:rsidRPr="00AF0028">
        <w:rPr>
          <w:rFonts w:ascii="Arial" w:eastAsia="宋体" w:hAnsi="Arial" w:cs="Arial"/>
          <w:b/>
          <w:color w:val="333333"/>
          <w:kern w:val="0"/>
          <w:sz w:val="24"/>
          <w:szCs w:val="24"/>
        </w:rPr>
        <w:t> </w:t>
      </w:r>
      <w:r w:rsidRPr="00AF0028">
        <w:rPr>
          <w:rFonts w:ascii="Arial" w:eastAsia="宋体" w:hAnsi="Arial" w:cs="Arial"/>
          <w:b/>
          <w:color w:val="333333"/>
          <w:kern w:val="0"/>
          <w:sz w:val="24"/>
          <w:szCs w:val="24"/>
        </w:rPr>
        <w:t>第六条</w:t>
      </w:r>
      <w:r w:rsidR="00AF0028">
        <w:rPr>
          <w:rFonts w:ascii="Arial" w:eastAsia="宋体" w:hAnsi="Arial" w:cs="Arial" w:hint="eastAsia"/>
          <w:b/>
          <w:color w:val="333333"/>
          <w:kern w:val="0"/>
          <w:sz w:val="24"/>
          <w:szCs w:val="24"/>
        </w:rPr>
        <w:t xml:space="preserve"> </w:t>
      </w:r>
      <w:r w:rsidRPr="00AF0028">
        <w:rPr>
          <w:rFonts w:ascii="Arial" w:eastAsia="宋体" w:hAnsi="Arial" w:cs="Arial"/>
          <w:b/>
          <w:color w:val="333333"/>
          <w:kern w:val="0"/>
          <w:sz w:val="24"/>
          <w:szCs w:val="24"/>
        </w:rPr>
        <w:t>违约责任</w:t>
      </w:r>
    </w:p>
    <w:p w14:paraId="79CFFFBC" w14:textId="77777777" w:rsidR="00995ECC" w:rsidRDefault="00995ECC" w:rsidP="00AF0028">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 </w:t>
      </w:r>
      <w:r w:rsidRPr="00995ECC">
        <w:rPr>
          <w:rFonts w:ascii="微软雅黑" w:eastAsia="宋体" w:hAnsi="微软雅黑" w:cs="宋体"/>
          <w:color w:val="333333"/>
          <w:kern w:val="0"/>
          <w:sz w:val="24"/>
          <w:szCs w:val="24"/>
        </w:rPr>
        <w:t>由于任何一方不能履行或不能完全履行约定义务的，由违约方承担相应的违约责任，但发生不可抗力事件除外。</w:t>
      </w:r>
      <w:r w:rsidRPr="00AF0028">
        <w:rPr>
          <w:rFonts w:ascii="微软雅黑" w:eastAsia="宋体" w:hAnsi="微软雅黑" w:cs="宋体"/>
          <w:color w:val="333333"/>
          <w:kern w:val="0"/>
          <w:sz w:val="24"/>
          <w:szCs w:val="24"/>
        </w:rPr>
        <w:t> </w:t>
      </w:r>
    </w:p>
    <w:p w14:paraId="3B92CE73" w14:textId="77777777" w:rsidR="00F53BFE" w:rsidRPr="00AF0028" w:rsidRDefault="00F53BFE" w:rsidP="00AF0028">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p>
    <w:p w14:paraId="0A06F510" w14:textId="77777777" w:rsidR="00995ECC" w:rsidRPr="00AF0028" w:rsidRDefault="00995ECC" w:rsidP="00AF0028">
      <w:pPr>
        <w:widowControl/>
        <w:shd w:val="clear" w:color="auto" w:fill="FFFFFF"/>
        <w:spacing w:line="360" w:lineRule="auto"/>
        <w:ind w:firstLineChars="200" w:firstLine="482"/>
        <w:jc w:val="left"/>
        <w:rPr>
          <w:rFonts w:ascii="Arial" w:eastAsia="宋体" w:hAnsi="Arial" w:cs="Arial"/>
          <w:b/>
          <w:color w:val="333333"/>
          <w:kern w:val="0"/>
          <w:sz w:val="24"/>
          <w:szCs w:val="24"/>
        </w:rPr>
      </w:pPr>
      <w:r w:rsidRPr="00995ECC">
        <w:rPr>
          <w:rFonts w:ascii="Arial" w:eastAsia="宋体" w:hAnsi="Arial" w:cs="Arial"/>
          <w:b/>
          <w:color w:val="333333"/>
          <w:kern w:val="0"/>
          <w:sz w:val="24"/>
          <w:szCs w:val="24"/>
        </w:rPr>
        <w:t> </w:t>
      </w:r>
      <w:r w:rsidRPr="00995ECC">
        <w:rPr>
          <w:rFonts w:ascii="Arial" w:eastAsia="宋体" w:hAnsi="Arial" w:cs="Arial"/>
          <w:b/>
          <w:color w:val="333333"/>
          <w:kern w:val="0"/>
          <w:sz w:val="24"/>
          <w:szCs w:val="24"/>
        </w:rPr>
        <w:t>第七条</w:t>
      </w:r>
      <w:r w:rsidR="00AF0028">
        <w:rPr>
          <w:rFonts w:ascii="Arial" w:eastAsia="宋体" w:hAnsi="Arial" w:cs="Arial" w:hint="eastAsia"/>
          <w:b/>
          <w:color w:val="333333"/>
          <w:kern w:val="0"/>
          <w:sz w:val="24"/>
          <w:szCs w:val="24"/>
        </w:rPr>
        <w:t xml:space="preserve"> </w:t>
      </w:r>
      <w:r w:rsidRPr="00995ECC">
        <w:rPr>
          <w:rFonts w:ascii="Arial" w:eastAsia="宋体" w:hAnsi="Arial" w:cs="Arial"/>
          <w:b/>
          <w:color w:val="333333"/>
          <w:kern w:val="0"/>
          <w:sz w:val="24"/>
          <w:szCs w:val="24"/>
        </w:rPr>
        <w:t>争议解决</w:t>
      </w:r>
      <w:r w:rsidRPr="00AF0028">
        <w:rPr>
          <w:rFonts w:ascii="Arial" w:eastAsia="宋体" w:hAnsi="Arial" w:cs="Arial"/>
          <w:b/>
          <w:color w:val="333333"/>
          <w:kern w:val="0"/>
          <w:sz w:val="24"/>
          <w:szCs w:val="24"/>
        </w:rPr>
        <w:t> </w:t>
      </w:r>
    </w:p>
    <w:p w14:paraId="47F40DC6" w14:textId="77777777" w:rsidR="00995ECC" w:rsidRDefault="00995ECC" w:rsidP="00AF0028">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lastRenderedPageBreak/>
        <w:t>本协议履行过程中发生争议的，可由当事人协商解决</w:t>
      </w:r>
      <w:r w:rsidRPr="00AF0566">
        <w:rPr>
          <w:rFonts w:ascii="微软雅黑" w:eastAsia="宋体" w:hAnsi="微软雅黑" w:cs="宋体"/>
          <w:color w:val="333333"/>
          <w:kern w:val="0"/>
          <w:sz w:val="24"/>
          <w:szCs w:val="24"/>
        </w:rPr>
        <w:t>。如果当事人不愿协商解决或协商不成的，任何一方均可将争议提交</w:t>
      </w:r>
      <w:r w:rsidR="00472A05">
        <w:rPr>
          <w:rFonts w:ascii="微软雅黑" w:eastAsia="宋体" w:hAnsi="微软雅黑" w:cs="宋体" w:hint="eastAsia"/>
          <w:color w:val="333333"/>
          <w:kern w:val="0"/>
          <w:sz w:val="24"/>
          <w:szCs w:val="24"/>
        </w:rPr>
        <w:t>上海</w:t>
      </w:r>
      <w:r w:rsidRPr="00995ECC">
        <w:rPr>
          <w:rFonts w:ascii="微软雅黑" w:eastAsia="宋体" w:hAnsi="微软雅黑" w:cs="宋体"/>
          <w:color w:val="333333"/>
          <w:kern w:val="0"/>
          <w:sz w:val="24"/>
          <w:szCs w:val="24"/>
        </w:rPr>
        <w:t>仲裁委员会申请仲裁。仲裁期间，本协议不涉及争议的条款继续履行。</w:t>
      </w:r>
    </w:p>
    <w:p w14:paraId="78C15026" w14:textId="77777777" w:rsidR="00F53BFE" w:rsidRPr="00AF0028" w:rsidRDefault="00F53BFE" w:rsidP="00AF0028">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p>
    <w:p w14:paraId="2B2CBF3C" w14:textId="77777777" w:rsidR="00AF0028" w:rsidRDefault="00995ECC" w:rsidP="00995ECC">
      <w:pPr>
        <w:widowControl/>
        <w:shd w:val="clear" w:color="auto" w:fill="FFFFFF"/>
        <w:spacing w:line="360" w:lineRule="auto"/>
        <w:ind w:firstLineChars="100" w:firstLine="241"/>
        <w:jc w:val="left"/>
        <w:rPr>
          <w:rFonts w:ascii="Arial" w:eastAsia="宋体" w:hAnsi="Arial" w:cs="Arial"/>
          <w:color w:val="333333"/>
          <w:kern w:val="0"/>
          <w:sz w:val="24"/>
          <w:szCs w:val="24"/>
        </w:rPr>
      </w:pPr>
      <w:r w:rsidRPr="00995ECC">
        <w:rPr>
          <w:rFonts w:ascii="Arial" w:eastAsia="宋体" w:hAnsi="Arial" w:cs="Arial"/>
          <w:b/>
          <w:color w:val="333333"/>
          <w:kern w:val="0"/>
          <w:sz w:val="24"/>
          <w:szCs w:val="24"/>
        </w:rPr>
        <w:t> </w:t>
      </w:r>
      <w:r w:rsidR="00AF0028">
        <w:rPr>
          <w:rFonts w:ascii="Arial" w:eastAsia="宋体" w:hAnsi="Arial" w:cs="Arial"/>
          <w:b/>
          <w:color w:val="333333"/>
          <w:kern w:val="0"/>
          <w:sz w:val="24"/>
          <w:szCs w:val="24"/>
        </w:rPr>
        <w:t xml:space="preserve"> </w:t>
      </w:r>
      <w:r w:rsidRPr="00995ECC">
        <w:rPr>
          <w:rFonts w:ascii="Arial" w:eastAsia="宋体" w:hAnsi="Arial" w:cs="Arial"/>
          <w:b/>
          <w:color w:val="333333"/>
          <w:kern w:val="0"/>
          <w:sz w:val="24"/>
          <w:szCs w:val="24"/>
        </w:rPr>
        <w:t>第八条</w:t>
      </w:r>
      <w:r w:rsidR="00AF0028">
        <w:rPr>
          <w:rFonts w:ascii="Arial" w:eastAsia="宋体" w:hAnsi="Arial" w:cs="Arial" w:hint="eastAsia"/>
          <w:b/>
          <w:color w:val="333333"/>
          <w:kern w:val="0"/>
          <w:sz w:val="24"/>
          <w:szCs w:val="24"/>
        </w:rPr>
        <w:t xml:space="preserve"> </w:t>
      </w:r>
      <w:r w:rsidRPr="00995ECC">
        <w:rPr>
          <w:rFonts w:ascii="Arial" w:eastAsia="宋体" w:hAnsi="Arial" w:cs="Arial"/>
          <w:b/>
          <w:color w:val="333333"/>
          <w:kern w:val="0"/>
          <w:sz w:val="24"/>
          <w:szCs w:val="24"/>
        </w:rPr>
        <w:t>风险提示</w:t>
      </w:r>
    </w:p>
    <w:p w14:paraId="6EB13D55" w14:textId="77777777" w:rsidR="00995ECC" w:rsidRPr="00AF0028" w:rsidRDefault="00995ECC" w:rsidP="00AF0028">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甲方在通过乙方网上交易系统进行定期定额申购业务时，已完全了解以下内容：</w:t>
      </w:r>
    </w:p>
    <w:p w14:paraId="208ACC3C" w14:textId="77777777" w:rsidR="00995ECC" w:rsidRPr="002F01F6" w:rsidRDefault="00995ECC" w:rsidP="00AF0028">
      <w:pPr>
        <w:widowControl/>
        <w:shd w:val="clear" w:color="auto" w:fill="FFFFFF"/>
        <w:spacing w:line="360" w:lineRule="auto"/>
        <w:ind w:rightChars="-162" w:right="-340" w:firstLineChars="200" w:firstLine="482"/>
        <w:jc w:val="left"/>
        <w:rPr>
          <w:rFonts w:ascii="微软雅黑" w:eastAsia="宋体" w:hAnsi="微软雅黑" w:cs="宋体"/>
          <w:b/>
          <w:color w:val="333333"/>
          <w:kern w:val="0"/>
          <w:sz w:val="24"/>
          <w:szCs w:val="24"/>
        </w:rPr>
      </w:pPr>
      <w:r w:rsidRPr="002F01F6">
        <w:rPr>
          <w:rFonts w:ascii="微软雅黑" w:eastAsia="宋体" w:hAnsi="微软雅黑" w:cs="宋体"/>
          <w:b/>
          <w:color w:val="333333"/>
          <w:kern w:val="0"/>
          <w:sz w:val="24"/>
          <w:szCs w:val="24"/>
        </w:rPr>
        <w:t>证券投资基金（以下简称</w:t>
      </w:r>
      <w:r w:rsidRPr="002F01F6">
        <w:rPr>
          <w:rFonts w:ascii="微软雅黑" w:eastAsia="宋体" w:hAnsi="微软雅黑" w:cs="宋体"/>
          <w:b/>
          <w:color w:val="333333"/>
          <w:kern w:val="0"/>
          <w:sz w:val="24"/>
          <w:szCs w:val="24"/>
        </w:rPr>
        <w:t>“</w:t>
      </w:r>
      <w:r w:rsidRPr="002F01F6">
        <w:rPr>
          <w:rFonts w:ascii="微软雅黑" w:eastAsia="宋体" w:hAnsi="微软雅黑" w:cs="宋体"/>
          <w:b/>
          <w:color w:val="333333"/>
          <w:kern w:val="0"/>
          <w:sz w:val="24"/>
          <w:szCs w:val="24"/>
        </w:rPr>
        <w:t>基金</w:t>
      </w:r>
      <w:r w:rsidRPr="002F01F6">
        <w:rPr>
          <w:rFonts w:ascii="微软雅黑" w:eastAsia="宋体" w:hAnsi="微软雅黑" w:cs="宋体"/>
          <w:b/>
          <w:color w:val="333333"/>
          <w:kern w:val="0"/>
          <w:sz w:val="24"/>
          <w:szCs w:val="24"/>
        </w:rPr>
        <w:t>”</w:t>
      </w:r>
      <w:r w:rsidRPr="002F01F6">
        <w:rPr>
          <w:rFonts w:ascii="微软雅黑" w:eastAsia="宋体" w:hAnsi="微软雅黑" w:cs="宋体"/>
          <w:b/>
          <w:color w:val="333333"/>
          <w:kern w:val="0"/>
          <w:sz w:val="24"/>
          <w:szCs w:val="24"/>
        </w:rPr>
        <w:t>）是一种长期投资工具，其主要功能是分散投资，降低投资单一证券所带来的个别风险。基金不同于银行储蓄和债券等能够提供固定收益预期的金融工具，甲方购买基金，既可能按其持有份额分享基金投资所产生的收益，也可能承担基金投资所带来的损失。</w:t>
      </w:r>
    </w:p>
    <w:p w14:paraId="07C9D212" w14:textId="77777777" w:rsidR="00995ECC" w:rsidRPr="002F01F6" w:rsidRDefault="00995ECC" w:rsidP="00AF0028">
      <w:pPr>
        <w:widowControl/>
        <w:shd w:val="clear" w:color="auto" w:fill="FFFFFF"/>
        <w:spacing w:line="360" w:lineRule="auto"/>
        <w:ind w:rightChars="-162" w:right="-340" w:firstLineChars="200" w:firstLine="482"/>
        <w:jc w:val="left"/>
        <w:rPr>
          <w:rFonts w:ascii="微软雅黑" w:eastAsia="宋体" w:hAnsi="微软雅黑" w:cs="宋体"/>
          <w:b/>
          <w:color w:val="333333"/>
          <w:kern w:val="0"/>
          <w:sz w:val="24"/>
          <w:szCs w:val="24"/>
        </w:rPr>
      </w:pPr>
      <w:r w:rsidRPr="002F01F6">
        <w:rPr>
          <w:rFonts w:ascii="微软雅黑" w:eastAsia="宋体" w:hAnsi="微软雅黑" w:cs="宋体"/>
          <w:b/>
          <w:color w:val="333333"/>
          <w:kern w:val="0"/>
          <w:sz w:val="24"/>
          <w:szCs w:val="24"/>
        </w:rPr>
        <w:t>基金在投资运作过程中可能面临各种风险，既包括市场风险，也包括基金自身的管理风险、技术风险和合规风险等。巨额赎回风险是开放式基金所特有的一种风险，即当单个交易日基金的净赎回申请超过基金总份额的百分之十时，甲方将可能无法及时赎回持有的全部基金份额。</w:t>
      </w:r>
      <w:r w:rsidRPr="002F01F6">
        <w:rPr>
          <w:rFonts w:ascii="微软雅黑" w:eastAsia="宋体" w:hAnsi="微软雅黑" w:cs="宋体"/>
          <w:b/>
          <w:color w:val="333333"/>
          <w:kern w:val="0"/>
          <w:sz w:val="24"/>
          <w:szCs w:val="24"/>
        </w:rPr>
        <w:t> </w:t>
      </w:r>
    </w:p>
    <w:p w14:paraId="648CBFD3" w14:textId="77777777" w:rsidR="00995ECC" w:rsidRPr="002F01F6" w:rsidRDefault="00995ECC" w:rsidP="00AF0028">
      <w:pPr>
        <w:widowControl/>
        <w:shd w:val="clear" w:color="auto" w:fill="FFFFFF"/>
        <w:spacing w:line="360" w:lineRule="auto"/>
        <w:ind w:rightChars="-162" w:right="-340" w:firstLineChars="200" w:firstLine="482"/>
        <w:jc w:val="left"/>
        <w:rPr>
          <w:rFonts w:ascii="微软雅黑" w:eastAsia="宋体" w:hAnsi="微软雅黑" w:cs="宋体"/>
          <w:b/>
          <w:color w:val="333333"/>
          <w:kern w:val="0"/>
          <w:sz w:val="24"/>
          <w:szCs w:val="24"/>
        </w:rPr>
      </w:pPr>
      <w:r w:rsidRPr="002F01F6">
        <w:rPr>
          <w:rFonts w:ascii="微软雅黑" w:eastAsia="宋体" w:hAnsi="微软雅黑" w:cs="宋体"/>
          <w:b/>
          <w:color w:val="333333"/>
          <w:kern w:val="0"/>
          <w:sz w:val="24"/>
          <w:szCs w:val="24"/>
        </w:rPr>
        <w:t> </w:t>
      </w:r>
      <w:r w:rsidRPr="002F01F6">
        <w:rPr>
          <w:rFonts w:ascii="微软雅黑" w:eastAsia="宋体" w:hAnsi="微软雅黑" w:cs="宋体"/>
          <w:b/>
          <w:color w:val="333333"/>
          <w:kern w:val="0"/>
          <w:sz w:val="24"/>
          <w:szCs w:val="24"/>
        </w:rPr>
        <w:t>基金分为股票</w:t>
      </w:r>
      <w:r w:rsidR="00AF0028" w:rsidRPr="002F01F6">
        <w:rPr>
          <w:rFonts w:ascii="微软雅黑" w:eastAsia="宋体" w:hAnsi="微软雅黑" w:cs="宋体"/>
          <w:b/>
          <w:color w:val="333333"/>
          <w:kern w:val="0"/>
          <w:sz w:val="24"/>
          <w:szCs w:val="24"/>
        </w:rPr>
        <w:t>型</w:t>
      </w:r>
      <w:r w:rsidRPr="002F01F6">
        <w:rPr>
          <w:rFonts w:ascii="微软雅黑" w:eastAsia="宋体" w:hAnsi="微软雅黑" w:cs="宋体"/>
          <w:b/>
          <w:color w:val="333333"/>
          <w:kern w:val="0"/>
          <w:sz w:val="24"/>
          <w:szCs w:val="24"/>
        </w:rPr>
        <w:t>基金、混合</w:t>
      </w:r>
      <w:r w:rsidR="00AF0028" w:rsidRPr="002F01F6">
        <w:rPr>
          <w:rFonts w:ascii="微软雅黑" w:eastAsia="宋体" w:hAnsi="微软雅黑" w:cs="宋体"/>
          <w:b/>
          <w:color w:val="333333"/>
          <w:kern w:val="0"/>
          <w:sz w:val="24"/>
          <w:szCs w:val="24"/>
        </w:rPr>
        <w:t>型</w:t>
      </w:r>
      <w:r w:rsidRPr="002F01F6">
        <w:rPr>
          <w:rFonts w:ascii="微软雅黑" w:eastAsia="宋体" w:hAnsi="微软雅黑" w:cs="宋体"/>
          <w:b/>
          <w:color w:val="333333"/>
          <w:kern w:val="0"/>
          <w:sz w:val="24"/>
          <w:szCs w:val="24"/>
        </w:rPr>
        <w:t>基金、债券</w:t>
      </w:r>
      <w:r w:rsidR="00AF0028" w:rsidRPr="002F01F6">
        <w:rPr>
          <w:rFonts w:ascii="微软雅黑" w:eastAsia="宋体" w:hAnsi="微软雅黑" w:cs="宋体"/>
          <w:b/>
          <w:color w:val="333333"/>
          <w:kern w:val="0"/>
          <w:sz w:val="24"/>
          <w:szCs w:val="24"/>
        </w:rPr>
        <w:t>型</w:t>
      </w:r>
      <w:r w:rsidRPr="002F01F6">
        <w:rPr>
          <w:rFonts w:ascii="微软雅黑" w:eastAsia="宋体" w:hAnsi="微软雅黑" w:cs="宋体"/>
          <w:b/>
          <w:color w:val="333333"/>
          <w:kern w:val="0"/>
          <w:sz w:val="24"/>
          <w:szCs w:val="24"/>
        </w:rPr>
        <w:t>基金、货币市场</w:t>
      </w:r>
      <w:r w:rsidR="00AF0028" w:rsidRPr="002F01F6">
        <w:rPr>
          <w:rFonts w:ascii="微软雅黑" w:eastAsia="宋体" w:hAnsi="微软雅黑" w:cs="宋体"/>
          <w:b/>
          <w:color w:val="333333"/>
          <w:kern w:val="0"/>
          <w:sz w:val="24"/>
          <w:szCs w:val="24"/>
        </w:rPr>
        <w:t>型</w:t>
      </w:r>
      <w:r w:rsidRPr="002F01F6">
        <w:rPr>
          <w:rFonts w:ascii="微软雅黑" w:eastAsia="宋体" w:hAnsi="微软雅黑" w:cs="宋体"/>
          <w:b/>
          <w:color w:val="333333"/>
          <w:kern w:val="0"/>
          <w:sz w:val="24"/>
          <w:szCs w:val="24"/>
        </w:rPr>
        <w:t>基金等不同类型，甲方投资不同类型的基金将获得不同的收益预期，也将承担不同程度的风险。一般来说，基金的收益预期越高，甲方承担的风险也越大。</w:t>
      </w:r>
      <w:r w:rsidRPr="002F01F6">
        <w:rPr>
          <w:rFonts w:ascii="微软雅黑" w:eastAsia="宋体" w:hAnsi="微软雅黑" w:cs="宋体"/>
          <w:b/>
          <w:color w:val="333333"/>
          <w:kern w:val="0"/>
          <w:sz w:val="24"/>
          <w:szCs w:val="24"/>
        </w:rPr>
        <w:t> </w:t>
      </w:r>
    </w:p>
    <w:p w14:paraId="06A7DFD7" w14:textId="77777777" w:rsidR="00AF0028" w:rsidRPr="002F01F6" w:rsidRDefault="00995ECC" w:rsidP="00AF0028">
      <w:pPr>
        <w:widowControl/>
        <w:shd w:val="clear" w:color="auto" w:fill="FFFFFF"/>
        <w:spacing w:line="360" w:lineRule="auto"/>
        <w:ind w:rightChars="-162" w:right="-340" w:firstLineChars="200" w:firstLine="482"/>
        <w:jc w:val="left"/>
        <w:rPr>
          <w:rFonts w:ascii="微软雅黑" w:eastAsia="宋体" w:hAnsi="微软雅黑" w:cs="宋体"/>
          <w:b/>
          <w:color w:val="333333"/>
          <w:kern w:val="0"/>
          <w:sz w:val="24"/>
          <w:szCs w:val="24"/>
        </w:rPr>
      </w:pPr>
      <w:r w:rsidRPr="002F01F6">
        <w:rPr>
          <w:rFonts w:ascii="微软雅黑" w:eastAsia="宋体" w:hAnsi="微软雅黑" w:cs="宋体"/>
          <w:b/>
          <w:color w:val="333333"/>
          <w:kern w:val="0"/>
          <w:sz w:val="24"/>
          <w:szCs w:val="24"/>
        </w:rPr>
        <w:t>甲方应当认</w:t>
      </w:r>
      <w:r w:rsidR="00844BFF" w:rsidRPr="002F01F6">
        <w:rPr>
          <w:rFonts w:ascii="微软雅黑" w:eastAsia="宋体" w:hAnsi="微软雅黑" w:cs="宋体"/>
          <w:b/>
          <w:color w:val="333333"/>
          <w:kern w:val="0"/>
          <w:sz w:val="24"/>
          <w:szCs w:val="24"/>
        </w:rPr>
        <w:t>真阅读基金合同、招募说明书或产品资料概要</w:t>
      </w:r>
      <w:r w:rsidRPr="002F01F6">
        <w:rPr>
          <w:rFonts w:ascii="微软雅黑" w:eastAsia="宋体" w:hAnsi="微软雅黑" w:cs="宋体"/>
          <w:b/>
          <w:color w:val="333333"/>
          <w:kern w:val="0"/>
          <w:sz w:val="24"/>
          <w:szCs w:val="24"/>
        </w:rPr>
        <w:t>等基金法律文件，了解基金的风险收益特征，并根据自身的投资目的、投资期限、投资经验、资产状况等判断基金是否和甲方的风险承受能力相适应。</w:t>
      </w:r>
      <w:r w:rsidR="00AF0028" w:rsidRPr="002F01F6">
        <w:rPr>
          <w:rFonts w:ascii="微软雅黑" w:eastAsia="宋体" w:hAnsi="微软雅黑" w:cs="宋体"/>
          <w:b/>
          <w:color w:val="333333"/>
          <w:kern w:val="0"/>
          <w:sz w:val="24"/>
          <w:szCs w:val="24"/>
        </w:rPr>
        <w:t> </w:t>
      </w:r>
    </w:p>
    <w:p w14:paraId="7142FAF1" w14:textId="77777777" w:rsidR="00844BFF" w:rsidRPr="002F01F6" w:rsidRDefault="00995ECC" w:rsidP="00AF0028">
      <w:pPr>
        <w:widowControl/>
        <w:shd w:val="clear" w:color="auto" w:fill="FFFFFF"/>
        <w:spacing w:line="360" w:lineRule="auto"/>
        <w:ind w:rightChars="-162" w:right="-340" w:firstLineChars="200" w:firstLine="482"/>
        <w:jc w:val="left"/>
        <w:rPr>
          <w:rFonts w:ascii="微软雅黑" w:eastAsia="宋体" w:hAnsi="微软雅黑" w:cs="宋体"/>
          <w:b/>
          <w:color w:val="333333"/>
          <w:kern w:val="0"/>
          <w:sz w:val="24"/>
          <w:szCs w:val="24"/>
        </w:rPr>
      </w:pPr>
      <w:r w:rsidRPr="002F01F6">
        <w:rPr>
          <w:rFonts w:ascii="微软雅黑" w:eastAsia="宋体" w:hAnsi="微软雅黑" w:cs="宋体"/>
          <w:b/>
          <w:color w:val="333333"/>
          <w:kern w:val="0"/>
          <w:sz w:val="24"/>
          <w:szCs w:val="24"/>
        </w:rPr>
        <w:t>甲方应当充分了解基金定期定额投资和零存整取等储蓄方式的区别。定期定额投资是引导甲方进行长期投资、平均投资成本的一种简单易行的投资方式。但是定期定额投资并不能规避基金投资所固有的风险，不能保证甲方获得收益，也不是替代储蓄的等效理财方式。</w:t>
      </w:r>
      <w:r w:rsidR="00844BFF" w:rsidRPr="002F01F6">
        <w:rPr>
          <w:rFonts w:ascii="微软雅黑" w:eastAsia="宋体" w:hAnsi="微软雅黑" w:cs="宋体"/>
          <w:b/>
          <w:color w:val="333333"/>
          <w:kern w:val="0"/>
          <w:sz w:val="24"/>
          <w:szCs w:val="24"/>
        </w:rPr>
        <w:t> </w:t>
      </w:r>
    </w:p>
    <w:p w14:paraId="31A1E677" w14:textId="77777777" w:rsidR="00844BFF" w:rsidRPr="002F01F6" w:rsidRDefault="00995ECC" w:rsidP="00AF0028">
      <w:pPr>
        <w:widowControl/>
        <w:shd w:val="clear" w:color="auto" w:fill="FFFFFF"/>
        <w:spacing w:line="360" w:lineRule="auto"/>
        <w:ind w:rightChars="-162" w:right="-340" w:firstLineChars="200" w:firstLine="482"/>
        <w:jc w:val="left"/>
        <w:rPr>
          <w:rFonts w:ascii="微软雅黑" w:eastAsia="宋体" w:hAnsi="微软雅黑" w:cs="宋体"/>
          <w:b/>
          <w:color w:val="333333"/>
          <w:kern w:val="0"/>
          <w:sz w:val="24"/>
          <w:szCs w:val="24"/>
        </w:rPr>
      </w:pPr>
      <w:r w:rsidRPr="002F01F6">
        <w:rPr>
          <w:rFonts w:ascii="微软雅黑" w:eastAsia="宋体" w:hAnsi="微软雅黑" w:cs="宋体"/>
          <w:b/>
          <w:color w:val="333333"/>
          <w:kern w:val="0"/>
          <w:sz w:val="24"/>
          <w:szCs w:val="24"/>
        </w:rPr>
        <w:t> </w:t>
      </w:r>
      <w:r w:rsidRPr="002F01F6">
        <w:rPr>
          <w:rFonts w:ascii="微软雅黑" w:eastAsia="宋体" w:hAnsi="微软雅黑" w:cs="宋体"/>
          <w:b/>
          <w:color w:val="333333"/>
          <w:kern w:val="0"/>
          <w:sz w:val="24"/>
          <w:szCs w:val="24"/>
        </w:rPr>
        <w:t>基金管理人承诺以诚实信用、勤勉尽责的原则管理和运用基金资产，但不保证本基金一定盈利，也不保证最低收益。基金的过往业绩及其净值高低并不预示</w:t>
      </w:r>
      <w:r w:rsidRPr="002F01F6">
        <w:rPr>
          <w:rFonts w:ascii="微软雅黑" w:eastAsia="宋体" w:hAnsi="微软雅黑" w:cs="宋体"/>
          <w:b/>
          <w:color w:val="333333"/>
          <w:kern w:val="0"/>
          <w:sz w:val="24"/>
          <w:szCs w:val="24"/>
        </w:rPr>
        <w:lastRenderedPageBreak/>
        <w:t>其未来业绩表现。基金管理人提醒甲方基金投资的</w:t>
      </w:r>
      <w:r w:rsidRPr="002F01F6">
        <w:rPr>
          <w:rFonts w:ascii="微软雅黑" w:eastAsia="宋体" w:hAnsi="微软雅黑" w:cs="宋体"/>
          <w:b/>
          <w:color w:val="333333"/>
          <w:kern w:val="0"/>
          <w:sz w:val="24"/>
          <w:szCs w:val="24"/>
        </w:rPr>
        <w:t>“</w:t>
      </w:r>
      <w:r w:rsidRPr="002F01F6">
        <w:rPr>
          <w:rFonts w:ascii="微软雅黑" w:eastAsia="宋体" w:hAnsi="微软雅黑" w:cs="宋体"/>
          <w:b/>
          <w:color w:val="333333"/>
          <w:kern w:val="0"/>
          <w:sz w:val="24"/>
          <w:szCs w:val="24"/>
        </w:rPr>
        <w:t>买者自负</w:t>
      </w:r>
      <w:r w:rsidRPr="002F01F6">
        <w:rPr>
          <w:rFonts w:ascii="微软雅黑" w:eastAsia="宋体" w:hAnsi="微软雅黑" w:cs="宋体"/>
          <w:b/>
          <w:color w:val="333333"/>
          <w:kern w:val="0"/>
          <w:sz w:val="24"/>
          <w:szCs w:val="24"/>
        </w:rPr>
        <w:t>”</w:t>
      </w:r>
      <w:r w:rsidRPr="002F01F6">
        <w:rPr>
          <w:rFonts w:ascii="微软雅黑" w:eastAsia="宋体" w:hAnsi="微软雅黑" w:cs="宋体"/>
          <w:b/>
          <w:color w:val="333333"/>
          <w:kern w:val="0"/>
          <w:sz w:val="24"/>
          <w:szCs w:val="24"/>
        </w:rPr>
        <w:t>原则，在做出投资决策后，基金运营状况与基金净值变化引致的投资风险，由甲方自行负担。</w:t>
      </w:r>
    </w:p>
    <w:p w14:paraId="2B1320E6" w14:textId="77777777" w:rsidR="00F53BFE" w:rsidRPr="00AF0028" w:rsidRDefault="00F53BFE" w:rsidP="00AF0028">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p>
    <w:p w14:paraId="17E1DDD7" w14:textId="77777777" w:rsidR="00844BFF" w:rsidRPr="00AF0028" w:rsidRDefault="00995ECC" w:rsidP="00AF0028">
      <w:pPr>
        <w:widowControl/>
        <w:shd w:val="clear" w:color="auto" w:fill="FFFFFF"/>
        <w:spacing w:line="360" w:lineRule="auto"/>
        <w:ind w:firstLineChars="200" w:firstLine="482"/>
        <w:jc w:val="left"/>
        <w:rPr>
          <w:rFonts w:ascii="Arial" w:eastAsia="宋体" w:hAnsi="Arial" w:cs="Arial"/>
          <w:b/>
          <w:color w:val="333333"/>
          <w:kern w:val="0"/>
          <w:sz w:val="24"/>
          <w:szCs w:val="24"/>
        </w:rPr>
      </w:pPr>
      <w:r w:rsidRPr="00995ECC">
        <w:rPr>
          <w:rFonts w:ascii="Arial" w:eastAsia="宋体" w:hAnsi="Arial" w:cs="Arial"/>
          <w:b/>
          <w:color w:val="333333"/>
          <w:kern w:val="0"/>
          <w:sz w:val="24"/>
          <w:szCs w:val="24"/>
        </w:rPr>
        <w:t> </w:t>
      </w:r>
      <w:r w:rsidRPr="00995ECC">
        <w:rPr>
          <w:rFonts w:ascii="Arial" w:eastAsia="宋体" w:hAnsi="Arial" w:cs="Arial"/>
          <w:b/>
          <w:color w:val="333333"/>
          <w:kern w:val="0"/>
          <w:sz w:val="24"/>
          <w:szCs w:val="24"/>
        </w:rPr>
        <w:t>第九条</w:t>
      </w:r>
      <w:r w:rsidR="00AF0028">
        <w:rPr>
          <w:rFonts w:ascii="Arial" w:eastAsia="宋体" w:hAnsi="Arial" w:cs="Arial" w:hint="eastAsia"/>
          <w:b/>
          <w:color w:val="333333"/>
          <w:kern w:val="0"/>
          <w:sz w:val="24"/>
          <w:szCs w:val="24"/>
        </w:rPr>
        <w:t xml:space="preserve"> </w:t>
      </w:r>
      <w:r w:rsidRPr="00995ECC">
        <w:rPr>
          <w:rFonts w:ascii="Arial" w:eastAsia="宋体" w:hAnsi="Arial" w:cs="Arial"/>
          <w:b/>
          <w:color w:val="333333"/>
          <w:kern w:val="0"/>
          <w:sz w:val="24"/>
          <w:szCs w:val="24"/>
        </w:rPr>
        <w:t>其他</w:t>
      </w:r>
    </w:p>
    <w:p w14:paraId="4F08431E" w14:textId="77777777" w:rsidR="00995ECC" w:rsidRPr="00995ECC" w:rsidRDefault="00995ECC" w:rsidP="00AF0028">
      <w:pPr>
        <w:widowControl/>
        <w:shd w:val="clear" w:color="auto" w:fill="FFFFFF"/>
        <w:spacing w:line="360" w:lineRule="auto"/>
        <w:ind w:rightChars="-162" w:right="-340" w:firstLineChars="200" w:firstLine="480"/>
        <w:jc w:val="left"/>
        <w:rPr>
          <w:rFonts w:ascii="微软雅黑" w:eastAsia="宋体" w:hAnsi="微软雅黑" w:cs="宋体"/>
          <w:color w:val="333333"/>
          <w:kern w:val="0"/>
          <w:sz w:val="24"/>
          <w:szCs w:val="24"/>
        </w:rPr>
      </w:pPr>
      <w:r w:rsidRPr="00995ECC">
        <w:rPr>
          <w:rFonts w:ascii="微软雅黑" w:eastAsia="宋体" w:hAnsi="微软雅黑" w:cs="宋体"/>
          <w:color w:val="333333"/>
          <w:kern w:val="0"/>
          <w:sz w:val="24"/>
          <w:szCs w:val="24"/>
        </w:rPr>
        <w:t>乙方对本协议拥有修改权和最终解释权。</w:t>
      </w:r>
    </w:p>
    <w:p w14:paraId="0B03B0B7" w14:textId="77777777" w:rsidR="008C05F6" w:rsidRPr="00AF0566" w:rsidRDefault="008C05F6" w:rsidP="00995ECC">
      <w:pPr>
        <w:spacing w:line="360" w:lineRule="auto"/>
        <w:rPr>
          <w:sz w:val="24"/>
          <w:szCs w:val="24"/>
        </w:rPr>
      </w:pPr>
    </w:p>
    <w:sectPr w:rsidR="008C05F6" w:rsidRPr="00AF05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ED6A" w14:textId="77777777" w:rsidR="00A25B1B" w:rsidRDefault="00A25B1B" w:rsidP="00472A05">
      <w:r>
        <w:separator/>
      </w:r>
    </w:p>
  </w:endnote>
  <w:endnote w:type="continuationSeparator" w:id="0">
    <w:p w14:paraId="35303814" w14:textId="77777777" w:rsidR="00A25B1B" w:rsidRDefault="00A25B1B" w:rsidP="0047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9F24" w14:textId="77777777" w:rsidR="00A25B1B" w:rsidRDefault="00A25B1B" w:rsidP="00472A05">
      <w:r>
        <w:separator/>
      </w:r>
    </w:p>
  </w:footnote>
  <w:footnote w:type="continuationSeparator" w:id="0">
    <w:p w14:paraId="18075BB3" w14:textId="77777777" w:rsidR="00A25B1B" w:rsidRDefault="00A25B1B" w:rsidP="0047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63C52"/>
    <w:multiLevelType w:val="hybridMultilevel"/>
    <w:tmpl w:val="7DAA4B70"/>
    <w:lvl w:ilvl="0" w:tplc="DDAA58F0">
      <w:start w:val="1"/>
      <w:numFmt w:val="decimal"/>
      <w:suff w:val="space"/>
      <w:lvlText w:val="%1、"/>
      <w:lvlJc w:val="left"/>
      <w:pPr>
        <w:ind w:left="0" w:firstLine="510"/>
      </w:pPr>
      <w:rPr>
        <w:rFonts w:hint="eastAsia"/>
      </w:rPr>
    </w:lvl>
    <w:lvl w:ilvl="1" w:tplc="6ACEF9D2">
      <w:start w:val="1"/>
      <w:numFmt w:val="decimal"/>
      <w:suff w:val="nothing"/>
      <w:lvlText w:val="%2、"/>
      <w:lvlJc w:val="left"/>
      <w:pPr>
        <w:ind w:left="0" w:firstLine="51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BE78A0"/>
    <w:multiLevelType w:val="hybridMultilevel"/>
    <w:tmpl w:val="BC4C3064"/>
    <w:lvl w:ilvl="0" w:tplc="6ACEF9D2">
      <w:start w:val="1"/>
      <w:numFmt w:val="decimal"/>
      <w:suff w:val="nothing"/>
      <w:lvlText w:val="%1、"/>
      <w:lvlJc w:val="left"/>
      <w:pPr>
        <w:ind w:left="0" w:firstLine="51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DF21CD"/>
    <w:multiLevelType w:val="hybridMultilevel"/>
    <w:tmpl w:val="BC4C3064"/>
    <w:lvl w:ilvl="0" w:tplc="6ACEF9D2">
      <w:start w:val="1"/>
      <w:numFmt w:val="decimal"/>
      <w:suff w:val="nothing"/>
      <w:lvlText w:val="%1、"/>
      <w:lvlJc w:val="left"/>
      <w:pPr>
        <w:ind w:left="0" w:firstLine="51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A092686"/>
    <w:multiLevelType w:val="hybridMultilevel"/>
    <w:tmpl w:val="BC4C3064"/>
    <w:lvl w:ilvl="0" w:tplc="6ACEF9D2">
      <w:start w:val="1"/>
      <w:numFmt w:val="decimal"/>
      <w:suff w:val="nothing"/>
      <w:lvlText w:val="%1、"/>
      <w:lvlJc w:val="left"/>
      <w:pPr>
        <w:ind w:left="0" w:firstLine="51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1E53293"/>
    <w:multiLevelType w:val="hybridMultilevel"/>
    <w:tmpl w:val="95F20AFA"/>
    <w:lvl w:ilvl="0" w:tplc="D4BCE136">
      <w:start w:val="1"/>
      <w:numFmt w:val="japaneseCounting"/>
      <w:lvlText w:val="第%1条"/>
      <w:lvlJc w:val="left"/>
      <w:pPr>
        <w:ind w:left="839" w:hanging="840"/>
      </w:pPr>
      <w:rPr>
        <w:rFonts w:hint="default"/>
      </w:rPr>
    </w:lvl>
    <w:lvl w:ilvl="1" w:tplc="04090019" w:tentative="1">
      <w:start w:val="1"/>
      <w:numFmt w:val="lowerLetter"/>
      <w:lvlText w:val="%2)"/>
      <w:lvlJc w:val="left"/>
      <w:pPr>
        <w:ind w:left="839" w:hanging="420"/>
      </w:pPr>
    </w:lvl>
    <w:lvl w:ilvl="2" w:tplc="0409001B" w:tentative="1">
      <w:start w:val="1"/>
      <w:numFmt w:val="lowerRoman"/>
      <w:lvlText w:val="%3."/>
      <w:lvlJc w:val="right"/>
      <w:pPr>
        <w:ind w:left="1259" w:hanging="420"/>
      </w:pPr>
    </w:lvl>
    <w:lvl w:ilvl="3" w:tplc="0409000F" w:tentative="1">
      <w:start w:val="1"/>
      <w:numFmt w:val="decimal"/>
      <w:lvlText w:val="%4."/>
      <w:lvlJc w:val="left"/>
      <w:pPr>
        <w:ind w:left="1679" w:hanging="420"/>
      </w:pPr>
    </w:lvl>
    <w:lvl w:ilvl="4" w:tplc="04090019" w:tentative="1">
      <w:start w:val="1"/>
      <w:numFmt w:val="lowerLetter"/>
      <w:lvlText w:val="%5)"/>
      <w:lvlJc w:val="left"/>
      <w:pPr>
        <w:ind w:left="2099" w:hanging="420"/>
      </w:pPr>
    </w:lvl>
    <w:lvl w:ilvl="5" w:tplc="0409001B" w:tentative="1">
      <w:start w:val="1"/>
      <w:numFmt w:val="lowerRoman"/>
      <w:lvlText w:val="%6."/>
      <w:lvlJc w:val="right"/>
      <w:pPr>
        <w:ind w:left="2519" w:hanging="420"/>
      </w:pPr>
    </w:lvl>
    <w:lvl w:ilvl="6" w:tplc="0409000F" w:tentative="1">
      <w:start w:val="1"/>
      <w:numFmt w:val="decimal"/>
      <w:lvlText w:val="%7."/>
      <w:lvlJc w:val="left"/>
      <w:pPr>
        <w:ind w:left="2939" w:hanging="420"/>
      </w:pPr>
    </w:lvl>
    <w:lvl w:ilvl="7" w:tplc="04090019" w:tentative="1">
      <w:start w:val="1"/>
      <w:numFmt w:val="lowerLetter"/>
      <w:lvlText w:val="%8)"/>
      <w:lvlJc w:val="left"/>
      <w:pPr>
        <w:ind w:left="3359" w:hanging="420"/>
      </w:pPr>
    </w:lvl>
    <w:lvl w:ilvl="8" w:tplc="0409001B" w:tentative="1">
      <w:start w:val="1"/>
      <w:numFmt w:val="lowerRoman"/>
      <w:lvlText w:val="%9."/>
      <w:lvlJc w:val="right"/>
      <w:pPr>
        <w:ind w:left="3779" w:hanging="420"/>
      </w:pPr>
    </w:lvl>
  </w:abstractNum>
  <w:abstractNum w:abstractNumId="5" w15:restartNumberingAfterBreak="0">
    <w:nsid w:val="75534A00"/>
    <w:multiLevelType w:val="hybridMultilevel"/>
    <w:tmpl w:val="1A72F062"/>
    <w:lvl w:ilvl="0" w:tplc="9426ED66">
      <w:start w:val="1"/>
      <w:numFmt w:val="decimal"/>
      <w:suff w:val="space"/>
      <w:lvlText w:val="%1."/>
      <w:lvlJc w:val="left"/>
      <w:pPr>
        <w:ind w:left="0" w:firstLine="510"/>
      </w:pPr>
      <w:rPr>
        <w:rFonts w:hint="eastAsia"/>
      </w:rPr>
    </w:lvl>
    <w:lvl w:ilvl="1" w:tplc="04090019" w:tentative="1">
      <w:start w:val="1"/>
      <w:numFmt w:val="lowerLetter"/>
      <w:lvlText w:val="%2)"/>
      <w:lvlJc w:val="left"/>
      <w:pPr>
        <w:ind w:left="900" w:hanging="420"/>
      </w:pPr>
    </w:lvl>
    <w:lvl w:ilvl="2" w:tplc="0409001B" w:tentative="1">
      <w:start w:val="1"/>
      <w:numFmt w:val="lowerRoman"/>
      <w:lvlText w:val="%3."/>
      <w:lvlJc w:val="right"/>
      <w:pPr>
        <w:ind w:left="1320" w:hanging="420"/>
      </w:pPr>
    </w:lvl>
    <w:lvl w:ilvl="3" w:tplc="0409000F" w:tentative="1">
      <w:start w:val="1"/>
      <w:numFmt w:val="decimal"/>
      <w:lvlText w:val="%4."/>
      <w:lvlJc w:val="left"/>
      <w:pPr>
        <w:ind w:left="1740" w:hanging="420"/>
      </w:pPr>
    </w:lvl>
    <w:lvl w:ilvl="4" w:tplc="04090019" w:tentative="1">
      <w:start w:val="1"/>
      <w:numFmt w:val="lowerLetter"/>
      <w:lvlText w:val="%5)"/>
      <w:lvlJc w:val="left"/>
      <w:pPr>
        <w:ind w:left="2160" w:hanging="420"/>
      </w:pPr>
    </w:lvl>
    <w:lvl w:ilvl="5" w:tplc="0409001B" w:tentative="1">
      <w:start w:val="1"/>
      <w:numFmt w:val="lowerRoman"/>
      <w:lvlText w:val="%6."/>
      <w:lvlJc w:val="right"/>
      <w:pPr>
        <w:ind w:left="2580" w:hanging="420"/>
      </w:pPr>
    </w:lvl>
    <w:lvl w:ilvl="6" w:tplc="0409000F" w:tentative="1">
      <w:start w:val="1"/>
      <w:numFmt w:val="decimal"/>
      <w:lvlText w:val="%7."/>
      <w:lvlJc w:val="left"/>
      <w:pPr>
        <w:ind w:left="3000" w:hanging="420"/>
      </w:pPr>
    </w:lvl>
    <w:lvl w:ilvl="7" w:tplc="04090019" w:tentative="1">
      <w:start w:val="1"/>
      <w:numFmt w:val="lowerLetter"/>
      <w:lvlText w:val="%8)"/>
      <w:lvlJc w:val="left"/>
      <w:pPr>
        <w:ind w:left="3420" w:hanging="420"/>
      </w:pPr>
    </w:lvl>
    <w:lvl w:ilvl="8" w:tplc="0409001B" w:tentative="1">
      <w:start w:val="1"/>
      <w:numFmt w:val="lowerRoman"/>
      <w:lvlText w:val="%9."/>
      <w:lvlJc w:val="right"/>
      <w:pPr>
        <w:ind w:left="3840" w:hanging="42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43"/>
    <w:rsid w:val="000A2343"/>
    <w:rsid w:val="0011038E"/>
    <w:rsid w:val="001D4750"/>
    <w:rsid w:val="002565B3"/>
    <w:rsid w:val="002F01F6"/>
    <w:rsid w:val="0041118F"/>
    <w:rsid w:val="004257BD"/>
    <w:rsid w:val="00472A05"/>
    <w:rsid w:val="004E3B0A"/>
    <w:rsid w:val="00500905"/>
    <w:rsid w:val="006D4562"/>
    <w:rsid w:val="007E0694"/>
    <w:rsid w:val="00844BFF"/>
    <w:rsid w:val="008871AB"/>
    <w:rsid w:val="008C05F6"/>
    <w:rsid w:val="00927824"/>
    <w:rsid w:val="0094453D"/>
    <w:rsid w:val="00995ECC"/>
    <w:rsid w:val="00A25B1B"/>
    <w:rsid w:val="00AE62AC"/>
    <w:rsid w:val="00AF0028"/>
    <w:rsid w:val="00AF0566"/>
    <w:rsid w:val="00B413E9"/>
    <w:rsid w:val="00B86CA5"/>
    <w:rsid w:val="00BD4E71"/>
    <w:rsid w:val="00BF7E7A"/>
    <w:rsid w:val="00CA3DB7"/>
    <w:rsid w:val="00EA4856"/>
    <w:rsid w:val="00EE69CF"/>
    <w:rsid w:val="00F037F7"/>
    <w:rsid w:val="00F53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74D40"/>
  <w15:chartTrackingRefBased/>
  <w15:docId w15:val="{D21CA29B-8E73-43CF-B753-57E1D8E7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CC"/>
    <w:pPr>
      <w:ind w:firstLineChars="200" w:firstLine="420"/>
    </w:pPr>
  </w:style>
  <w:style w:type="paragraph" w:styleId="a4">
    <w:name w:val="header"/>
    <w:basedOn w:val="a"/>
    <w:link w:val="a5"/>
    <w:uiPriority w:val="99"/>
    <w:unhideWhenUsed/>
    <w:rsid w:val="00472A0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72A05"/>
    <w:rPr>
      <w:sz w:val="18"/>
      <w:szCs w:val="18"/>
    </w:rPr>
  </w:style>
  <w:style w:type="paragraph" w:styleId="a6">
    <w:name w:val="footer"/>
    <w:basedOn w:val="a"/>
    <w:link w:val="a7"/>
    <w:uiPriority w:val="99"/>
    <w:unhideWhenUsed/>
    <w:rsid w:val="00472A05"/>
    <w:pPr>
      <w:tabs>
        <w:tab w:val="center" w:pos="4153"/>
        <w:tab w:val="right" w:pos="8306"/>
      </w:tabs>
      <w:snapToGrid w:val="0"/>
      <w:jc w:val="left"/>
    </w:pPr>
    <w:rPr>
      <w:sz w:val="18"/>
      <w:szCs w:val="18"/>
    </w:rPr>
  </w:style>
  <w:style w:type="character" w:customStyle="1" w:styleId="a7">
    <w:name w:val="页脚 字符"/>
    <w:basedOn w:val="a0"/>
    <w:link w:val="a6"/>
    <w:uiPriority w:val="99"/>
    <w:rsid w:val="00472A05"/>
    <w:rPr>
      <w:sz w:val="18"/>
      <w:szCs w:val="18"/>
    </w:rPr>
  </w:style>
  <w:style w:type="character" w:styleId="a8">
    <w:name w:val="annotation reference"/>
    <w:basedOn w:val="a0"/>
    <w:uiPriority w:val="99"/>
    <w:semiHidden/>
    <w:unhideWhenUsed/>
    <w:rsid w:val="00472A05"/>
    <w:rPr>
      <w:sz w:val="21"/>
      <w:szCs w:val="21"/>
    </w:rPr>
  </w:style>
  <w:style w:type="paragraph" w:styleId="a9">
    <w:name w:val="annotation text"/>
    <w:basedOn w:val="a"/>
    <w:link w:val="aa"/>
    <w:uiPriority w:val="99"/>
    <w:semiHidden/>
    <w:unhideWhenUsed/>
    <w:rsid w:val="00472A05"/>
    <w:pPr>
      <w:jc w:val="left"/>
    </w:pPr>
  </w:style>
  <w:style w:type="character" w:customStyle="1" w:styleId="aa">
    <w:name w:val="批注文字 字符"/>
    <w:basedOn w:val="a0"/>
    <w:link w:val="a9"/>
    <w:uiPriority w:val="99"/>
    <w:semiHidden/>
    <w:rsid w:val="00472A05"/>
  </w:style>
  <w:style w:type="paragraph" w:styleId="ab">
    <w:name w:val="annotation subject"/>
    <w:basedOn w:val="a9"/>
    <w:next w:val="a9"/>
    <w:link w:val="ac"/>
    <w:uiPriority w:val="99"/>
    <w:semiHidden/>
    <w:unhideWhenUsed/>
    <w:rsid w:val="00472A05"/>
    <w:rPr>
      <w:b/>
      <w:bCs/>
    </w:rPr>
  </w:style>
  <w:style w:type="character" w:customStyle="1" w:styleId="ac">
    <w:name w:val="批注主题 字符"/>
    <w:basedOn w:val="aa"/>
    <w:link w:val="ab"/>
    <w:uiPriority w:val="99"/>
    <w:semiHidden/>
    <w:rsid w:val="00472A05"/>
    <w:rPr>
      <w:b/>
      <w:bCs/>
    </w:rPr>
  </w:style>
  <w:style w:type="paragraph" w:styleId="ad">
    <w:name w:val="Balloon Text"/>
    <w:basedOn w:val="a"/>
    <w:link w:val="ae"/>
    <w:uiPriority w:val="99"/>
    <w:semiHidden/>
    <w:unhideWhenUsed/>
    <w:rsid w:val="00472A05"/>
    <w:rPr>
      <w:sz w:val="18"/>
      <w:szCs w:val="18"/>
    </w:rPr>
  </w:style>
  <w:style w:type="character" w:customStyle="1" w:styleId="ae">
    <w:name w:val="批注框文本 字符"/>
    <w:basedOn w:val="a0"/>
    <w:link w:val="ad"/>
    <w:uiPriority w:val="99"/>
    <w:semiHidden/>
    <w:rsid w:val="00472A05"/>
    <w:rPr>
      <w:sz w:val="18"/>
      <w:szCs w:val="18"/>
    </w:rPr>
  </w:style>
  <w:style w:type="paragraph" w:styleId="af">
    <w:name w:val="Body Text"/>
    <w:basedOn w:val="a"/>
    <w:link w:val="af0"/>
    <w:uiPriority w:val="1"/>
    <w:qFormat/>
    <w:rsid w:val="00B86CA5"/>
    <w:pPr>
      <w:autoSpaceDE w:val="0"/>
      <w:autoSpaceDN w:val="0"/>
      <w:adjustRightInd w:val="0"/>
      <w:spacing w:before="60"/>
      <w:ind w:left="120"/>
      <w:jc w:val="left"/>
    </w:pPr>
    <w:rPr>
      <w:rFonts w:ascii="宋体" w:eastAsia="宋体" w:hAnsi="Times New Roman" w:cs="宋体"/>
      <w:kern w:val="0"/>
      <w:sz w:val="28"/>
      <w:szCs w:val="28"/>
    </w:rPr>
  </w:style>
  <w:style w:type="character" w:customStyle="1" w:styleId="af0">
    <w:name w:val="正文文本 字符"/>
    <w:basedOn w:val="a0"/>
    <w:link w:val="af"/>
    <w:uiPriority w:val="1"/>
    <w:rsid w:val="00B86CA5"/>
    <w:rPr>
      <w:rFonts w:ascii="宋体" w:eastAsia="宋体" w:hAnsi="Times New Roman"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636422">
      <w:bodyDiv w:val="1"/>
      <w:marLeft w:val="0"/>
      <w:marRight w:val="0"/>
      <w:marTop w:val="0"/>
      <w:marBottom w:val="0"/>
      <w:divBdr>
        <w:top w:val="none" w:sz="0" w:space="0" w:color="auto"/>
        <w:left w:val="none" w:sz="0" w:space="0" w:color="auto"/>
        <w:bottom w:val="none" w:sz="0" w:space="0" w:color="auto"/>
        <w:right w:val="none" w:sz="0" w:space="0" w:color="auto"/>
      </w:divBdr>
      <w:divsChild>
        <w:div w:id="192231351">
          <w:marLeft w:val="0"/>
          <w:marRight w:val="0"/>
          <w:marTop w:val="0"/>
          <w:marBottom w:val="0"/>
          <w:divBdr>
            <w:top w:val="none" w:sz="0" w:space="0" w:color="auto"/>
            <w:left w:val="none" w:sz="0" w:space="0" w:color="auto"/>
            <w:bottom w:val="none" w:sz="0" w:space="0" w:color="auto"/>
            <w:right w:val="none" w:sz="0" w:space="0" w:color="auto"/>
          </w:divBdr>
        </w:div>
        <w:div w:id="239409929">
          <w:marLeft w:val="0"/>
          <w:marRight w:val="0"/>
          <w:marTop w:val="0"/>
          <w:marBottom w:val="0"/>
          <w:divBdr>
            <w:top w:val="none" w:sz="0" w:space="0" w:color="auto"/>
            <w:left w:val="none" w:sz="0" w:space="0" w:color="auto"/>
            <w:bottom w:val="none" w:sz="0" w:space="0" w:color="auto"/>
            <w:right w:val="none" w:sz="0" w:space="0" w:color="auto"/>
          </w:divBdr>
        </w:div>
        <w:div w:id="683018362">
          <w:marLeft w:val="0"/>
          <w:marRight w:val="0"/>
          <w:marTop w:val="0"/>
          <w:marBottom w:val="0"/>
          <w:divBdr>
            <w:top w:val="none" w:sz="0" w:space="0" w:color="auto"/>
            <w:left w:val="none" w:sz="0" w:space="0" w:color="auto"/>
            <w:bottom w:val="none" w:sz="0" w:space="0" w:color="auto"/>
            <w:right w:val="none" w:sz="0" w:space="0" w:color="auto"/>
          </w:divBdr>
        </w:div>
        <w:div w:id="873420045">
          <w:marLeft w:val="0"/>
          <w:marRight w:val="0"/>
          <w:marTop w:val="0"/>
          <w:marBottom w:val="0"/>
          <w:divBdr>
            <w:top w:val="none" w:sz="0" w:space="0" w:color="auto"/>
            <w:left w:val="none" w:sz="0" w:space="0" w:color="auto"/>
            <w:bottom w:val="none" w:sz="0" w:space="0" w:color="auto"/>
            <w:right w:val="none" w:sz="0" w:space="0" w:color="auto"/>
          </w:divBdr>
        </w:div>
        <w:div w:id="1000891847">
          <w:marLeft w:val="0"/>
          <w:marRight w:val="0"/>
          <w:marTop w:val="0"/>
          <w:marBottom w:val="0"/>
          <w:divBdr>
            <w:top w:val="none" w:sz="0" w:space="0" w:color="auto"/>
            <w:left w:val="none" w:sz="0" w:space="0" w:color="auto"/>
            <w:bottom w:val="none" w:sz="0" w:space="0" w:color="auto"/>
            <w:right w:val="none" w:sz="0" w:space="0" w:color="auto"/>
          </w:divBdr>
        </w:div>
        <w:div w:id="1803890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484</Words>
  <Characters>2759</Characters>
  <Application>Microsoft Office Word</Application>
  <DocSecurity>0</DocSecurity>
  <Lines>22</Lines>
  <Paragraphs>6</Paragraphs>
  <ScaleCrop>false</ScaleCrop>
  <Company>微软中国</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Llinks</dc:creator>
  <cp:keywords/>
  <dc:description/>
  <cp:lastModifiedBy>吕佳祺</cp:lastModifiedBy>
  <cp:revision>2</cp:revision>
  <dcterms:created xsi:type="dcterms:W3CDTF">2021-11-17T05:50:00Z</dcterms:created>
  <dcterms:modified xsi:type="dcterms:W3CDTF">2021-11-17T07:20:00Z</dcterms:modified>
</cp:coreProperties>
</file>